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lang w:val="en-US"/>
        </w:rPr>
      </w:pPr>
      <w:r w:rsidRPr="00F22827">
        <w:rPr>
          <w:rFonts w:ascii="Arial" w:hAnsi="Arial" w:cs="Arial"/>
          <w:b/>
          <w:bCs/>
          <w:color w:val="000000"/>
          <w:sz w:val="28"/>
          <w:szCs w:val="28"/>
          <w:lang w:val="en-US"/>
        </w:rPr>
        <w:t>DOI 10.47576/</w:t>
      </w:r>
      <w:r w:rsidRPr="00F22827">
        <w:rPr>
          <w:rFonts w:ascii="Arial" w:hAnsi="Arial" w:cs="Arial"/>
          <w:color w:val="000000"/>
          <w:sz w:val="28"/>
          <w:szCs w:val="28"/>
          <w:lang w:val="en-US"/>
        </w:rPr>
        <w:t xml:space="preserve">2712-7516_2021_1_3_6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УДК 336.02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 xml:space="preserve">Факторы, влияющие на цифровую трансформацию </w:t>
      </w:r>
      <w:proofErr w:type="gramStart"/>
      <w:r w:rsidRPr="00F22827">
        <w:rPr>
          <w:rFonts w:ascii="Helios" w:hAnsi="Helios" w:cs="Helios"/>
          <w:b/>
          <w:bCs/>
          <w:caps/>
          <w:color w:val="000000"/>
          <w:sz w:val="30"/>
          <w:szCs w:val="30"/>
        </w:rPr>
        <w:t>региональных</w:t>
      </w:r>
      <w:proofErr w:type="gramEnd"/>
      <w:r w:rsidRPr="00F22827">
        <w:rPr>
          <w:rFonts w:ascii="Helios" w:hAnsi="Helios" w:cs="Helios"/>
          <w:b/>
          <w:bCs/>
          <w:caps/>
          <w:color w:val="000000"/>
          <w:sz w:val="30"/>
          <w:szCs w:val="30"/>
        </w:rPr>
        <w:t xml:space="preserve"> банковских бизнес-моделей</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 xml:space="preserve">Беляева Елена Сергеевна, </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кандидат экономических наук, кафедра финансов и кредита, Юго-Западный государственный университет, г. Курск,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xml:space="preserve">: belena2107@yandex.ru </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 xml:space="preserve">Ершова Ирина Геннадьевна, </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доктор экономических наук, кафедра финансов и кредита, Юго-Западный государственный университет, г. Курск,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xml:space="preserve">: ershovairgen@yandex.ru </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 xml:space="preserve">Приходченко Ольга Сергеевна, </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кандидат экономических наук, кафедра экономической безопасности и налогообложения, Юго-Западный государственный университет, г. Курск,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olgaprikhodchenko@yandex.ru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 xml:space="preserve">В статье рассматриваются факторы, влияющие на цифровую трансформацию банковских </w:t>
      </w:r>
      <w:proofErr w:type="gramStart"/>
      <w:r w:rsidRPr="00F22827">
        <w:rPr>
          <w:rFonts w:ascii="Arial" w:hAnsi="Arial" w:cs="Arial"/>
          <w:color w:val="000000"/>
          <w:sz w:val="20"/>
          <w:szCs w:val="20"/>
        </w:rPr>
        <w:t>бизнес-моделей</w:t>
      </w:r>
      <w:proofErr w:type="gramEnd"/>
      <w:r w:rsidRPr="00F22827">
        <w:rPr>
          <w:rFonts w:ascii="Arial" w:hAnsi="Arial" w:cs="Arial"/>
          <w:color w:val="000000"/>
          <w:sz w:val="20"/>
          <w:szCs w:val="20"/>
        </w:rPr>
        <w:t xml:space="preserve">, исследуется роль трансформации банковского сектора России в условиях цифровой экономики. Предложены направления трансформации банковских </w:t>
      </w:r>
      <w:proofErr w:type="gramStart"/>
      <w:r w:rsidRPr="00F22827">
        <w:rPr>
          <w:rFonts w:ascii="Arial" w:hAnsi="Arial" w:cs="Arial"/>
          <w:color w:val="000000"/>
          <w:sz w:val="20"/>
          <w:szCs w:val="20"/>
        </w:rPr>
        <w:t>бизнес-моделей</w:t>
      </w:r>
      <w:proofErr w:type="gramEnd"/>
      <w:r w:rsidRPr="00F22827">
        <w:rPr>
          <w:rFonts w:ascii="Arial" w:hAnsi="Arial" w:cs="Arial"/>
          <w:color w:val="000000"/>
          <w:sz w:val="20"/>
          <w:szCs w:val="20"/>
        </w:rPr>
        <w:t xml:space="preserve"> в условиях развития цифровых технологий; проведен сравнительный анализ экосистем передовых банков в использовании цифровых технологий; выявлены перспективные направления корпоративного цифрового бизнеса банка.</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цифровые технологии; корпоративный цифровой бизнес; экосистема коммерческого банка; трансформация банковского обслуживания.</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336.02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 xml:space="preserve">Factors influencing the digital transformation </w:t>
      </w:r>
      <w:r w:rsidRPr="00F22827">
        <w:rPr>
          <w:rFonts w:ascii="Helios" w:hAnsi="Helios" w:cs="Helios"/>
          <w:b/>
          <w:bCs/>
          <w:caps/>
          <w:color w:val="000000"/>
          <w:sz w:val="30"/>
          <w:szCs w:val="30"/>
          <w:lang w:val="en-US"/>
        </w:rPr>
        <w:br/>
        <w:t>of regional banking business models</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Belyava</w:t>
      </w:r>
      <w:proofErr w:type="spellEnd"/>
      <w:r w:rsidRPr="00F22827">
        <w:rPr>
          <w:rFonts w:ascii="Arial" w:hAnsi="Arial" w:cs="Arial"/>
          <w:b/>
          <w:bCs/>
          <w:color w:val="000000"/>
          <w:lang w:val="en-US"/>
        </w:rPr>
        <w:t xml:space="preserve"> Elena </w:t>
      </w:r>
      <w:proofErr w:type="spellStart"/>
      <w:r w:rsidRPr="00F22827">
        <w:rPr>
          <w:rFonts w:ascii="Arial" w:hAnsi="Arial" w:cs="Arial"/>
          <w:b/>
          <w:bCs/>
          <w:color w:val="000000"/>
          <w:lang w:val="en-US"/>
        </w:rPr>
        <w:t>Sergeevna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PhD in Economics, Department of Finance and Credit, Southwestern State University, Kursk, Russia, e-mail: belena2107@yandex.ru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Ershova</w:t>
      </w:r>
      <w:proofErr w:type="spellEnd"/>
      <w:r w:rsidRPr="00F22827">
        <w:rPr>
          <w:rFonts w:ascii="Arial" w:hAnsi="Arial" w:cs="Arial"/>
          <w:b/>
          <w:bCs/>
          <w:color w:val="000000"/>
          <w:lang w:val="en-US"/>
        </w:rPr>
        <w:t xml:space="preserve"> Irina </w:t>
      </w:r>
      <w:proofErr w:type="spellStart"/>
      <w:r w:rsidRPr="00F22827">
        <w:rPr>
          <w:rFonts w:ascii="Arial" w:hAnsi="Arial" w:cs="Arial"/>
          <w:b/>
          <w:bCs/>
          <w:color w:val="000000"/>
          <w:lang w:val="en-US"/>
        </w:rPr>
        <w:t>Gennadievna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Doctor of Economics, Department of Finance and Credit, Southwestern State University, Kursk, Russia, e-mail: ershovairgen@yandex.ru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Prikhodchenko</w:t>
      </w:r>
      <w:proofErr w:type="spellEnd"/>
      <w:r w:rsidRPr="00F22827">
        <w:rPr>
          <w:rFonts w:ascii="Arial" w:hAnsi="Arial" w:cs="Arial"/>
          <w:b/>
          <w:bCs/>
          <w:color w:val="000000"/>
          <w:lang w:val="en-US"/>
        </w:rPr>
        <w:t xml:space="preserve"> Olga </w:t>
      </w:r>
      <w:proofErr w:type="spellStart"/>
      <w:r w:rsidRPr="00F22827">
        <w:rPr>
          <w:rFonts w:ascii="Arial" w:hAnsi="Arial" w:cs="Arial"/>
          <w:b/>
          <w:bCs/>
          <w:color w:val="000000"/>
          <w:lang w:val="en-US"/>
        </w:rPr>
        <w:t>Sergeevna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PhD in Economics, Department of Economic Security and Taxation, Southwestern State University, Kursk, Russia, e-mail: olgaprikhodchenko@yandex.ru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The article discusses the factors influencing the digital transformation of banking business models, examines the role of the transformation of the Russian banking sector in the digital economy. The authors propose directions for the transformation of banking business models in the context of the development of digital technologies; a comparative analysis of the ecosystems of advanced banks in the use of digital technologies was carried out; promising areas of the bank’s corporate digital business were identified.</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digital technologies; corporate digital business; commercial bank ecosystem; banking transformation.</w:t>
      </w:r>
    </w:p>
    <w:p w:rsidR="00366D07" w:rsidRDefault="00366D07" w:rsidP="00133532"/>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lastRenderedPageBreak/>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2712-7516_2021_1_3_12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 xml:space="preserve">УДК 657.6 </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Перспективы развития внутреннего аудита</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 xml:space="preserve">Султанов Гарун </w:t>
      </w:r>
      <w:proofErr w:type="spellStart"/>
      <w:r w:rsidRPr="00F22827">
        <w:rPr>
          <w:rFonts w:ascii="Arial" w:hAnsi="Arial" w:cs="Arial"/>
          <w:b/>
          <w:bCs/>
          <w:color w:val="000000"/>
        </w:rPr>
        <w:t>Султанахмедович</w:t>
      </w:r>
      <w:proofErr w:type="spellEnd"/>
      <w:r w:rsidRPr="00F22827">
        <w:rPr>
          <w:rFonts w:ascii="Arial" w:hAnsi="Arial" w:cs="Arial"/>
          <w:b/>
          <w:bCs/>
          <w:color w:val="000000"/>
        </w:rPr>
        <w:t xml:space="preserve">, </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кандидат экономических наук, доцент, доцент кафедры экономической безопасности, анализа и аудита, Дагестанский государственный университет, г. Махачкала,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xml:space="preserve">: sirius2001@mail.ru </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 xml:space="preserve">В статье раскрыты вопросы развития внутреннего аудита в перспективе, рассмотрено значение внутреннего аудита для руководства, совета директоров, внешних аудиторов, а также ключевых заинтересованных сторон. Кроме того, изучены современные подходы к внутреннему аудиту, основанные на рисках, которые позволяют систематически оценивать риски и увязывать их с </w:t>
      </w:r>
      <w:proofErr w:type="gramStart"/>
      <w:r w:rsidRPr="00F22827">
        <w:rPr>
          <w:rFonts w:ascii="Arial" w:hAnsi="Arial" w:cs="Arial"/>
          <w:color w:val="000000"/>
          <w:sz w:val="20"/>
          <w:szCs w:val="20"/>
        </w:rPr>
        <w:t>бизнес-целями</w:t>
      </w:r>
      <w:proofErr w:type="gramEnd"/>
      <w:r w:rsidRPr="00F22827">
        <w:rPr>
          <w:rFonts w:ascii="Arial" w:hAnsi="Arial" w:cs="Arial"/>
          <w:color w:val="000000"/>
          <w:sz w:val="20"/>
          <w:szCs w:val="20"/>
        </w:rPr>
        <w:t xml:space="preserve">. </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xml:space="preserve"> внутренний аудит; перспективы; значимость; развитие; риски; эффективность; организация; управление.</w:t>
      </w:r>
      <w:proofErr w:type="gramEnd"/>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before="227"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657.6</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Prospects for the development of internal audit</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Sultanov</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Garun</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Sultanahmedovich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Candidate of Economic Sciences, Associate Professor, Associate Professor of the Department of Economic Security, Analysis and Audit, Dagestan State University, Makhachkala, Russia, e-mail: sirius2001@mail.ru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The article reveals the issues of development of internal audit in the future, considers the importance of internal audit for management, the board of directors, external auditors, as well as key stakeholders. In addition, modern risk-based approaches to internal audit are studied, which allow you to systematically assess risks and link them to business goals.</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internal audit; perspectives; significance; development; risks; efficiency; organization; control.</w:t>
      </w:r>
    </w:p>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2712-7516_2021_1_3_16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УДК 338.2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Цифровая трансформация управления отраслевой транспортной логистики</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Дьяков Сергей Александрович,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кандидат экономических наук, доцент, Кубанский государственный аграрный университет имени И.Т. Трубилина, г. Краснодар,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docent.dyakov@mail.ru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Матвеев Александр Сергеевич,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студент экономического факультета, Кубанский государственный аграрный университет имени И.Т. Трубилина, г. Краснодар,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macedon99@yandex.ru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proofErr w:type="spellStart"/>
      <w:r w:rsidRPr="00F22827">
        <w:rPr>
          <w:rFonts w:ascii="Arial" w:hAnsi="Arial" w:cs="Arial"/>
          <w:b/>
          <w:bCs/>
          <w:color w:val="000000"/>
        </w:rPr>
        <w:t>Позоян</w:t>
      </w:r>
      <w:proofErr w:type="spellEnd"/>
      <w:r w:rsidRPr="00F22827">
        <w:rPr>
          <w:rFonts w:ascii="Arial" w:hAnsi="Arial" w:cs="Arial"/>
          <w:b/>
          <w:bCs/>
          <w:color w:val="000000"/>
        </w:rPr>
        <w:t xml:space="preserve"> Давид Петрович,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lastRenderedPageBreak/>
        <w:t>студент экономического факультета, Кубанский государственный аграрный университет имени И.Т. Трубилина, г. Краснодар,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pozojan.d@yandex.ru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Статья посвящена вопросам совершенствования процесса управления отраслевой транспортной логистики на примере логистической грузовой железнодорожной компан</w:t>
      </w:r>
      <w:proofErr w:type="gramStart"/>
      <w:r w:rsidRPr="00F22827">
        <w:rPr>
          <w:rFonts w:ascii="Arial" w:hAnsi="Arial" w:cs="Arial"/>
          <w:color w:val="000000"/>
          <w:sz w:val="20"/>
          <w:szCs w:val="20"/>
        </w:rPr>
        <w:t>ии АО</w:t>
      </w:r>
      <w:proofErr w:type="gramEnd"/>
      <w:r w:rsidRPr="00F22827">
        <w:rPr>
          <w:rFonts w:ascii="Arial" w:hAnsi="Arial" w:cs="Arial"/>
          <w:color w:val="000000"/>
          <w:sz w:val="20"/>
          <w:szCs w:val="20"/>
        </w:rPr>
        <w:t xml:space="preserve"> «ФГК». Приведено обоснование необходимости разработки алгоритма по эффективному управлению вагонным парком компании в рамках многоуровневой системы планирования. Авторами разработан алгоритм, позволяющий выбрать наиболее выгодные перевозки, дополнив оптимальную схему неизбежными порожними пересылками вагонов.</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xml:space="preserve">: </w:t>
      </w:r>
      <w:proofErr w:type="spellStart"/>
      <w:r w:rsidRPr="00F22827">
        <w:rPr>
          <w:rFonts w:ascii="Arial" w:hAnsi="Arial" w:cs="Arial"/>
          <w:color w:val="000000"/>
          <w:sz w:val="20"/>
          <w:szCs w:val="20"/>
        </w:rPr>
        <w:t>цифровизация</w:t>
      </w:r>
      <w:proofErr w:type="spellEnd"/>
      <w:r w:rsidRPr="00F22827">
        <w:rPr>
          <w:rFonts w:ascii="Arial" w:hAnsi="Arial" w:cs="Arial"/>
          <w:color w:val="000000"/>
          <w:sz w:val="20"/>
          <w:szCs w:val="20"/>
        </w:rPr>
        <w:t xml:space="preserve">; логистика; железнодорожная отрасль; трансформация; автоматизированная система; </w:t>
      </w:r>
      <w:proofErr w:type="spellStart"/>
      <w:r w:rsidRPr="00F22827">
        <w:rPr>
          <w:rFonts w:ascii="Arial" w:hAnsi="Arial" w:cs="Arial"/>
          <w:color w:val="000000"/>
          <w:sz w:val="20"/>
          <w:szCs w:val="20"/>
        </w:rPr>
        <w:t>вагонопоток</w:t>
      </w:r>
      <w:proofErr w:type="spellEnd"/>
      <w:r w:rsidRPr="00F22827">
        <w:rPr>
          <w:rFonts w:ascii="Arial" w:hAnsi="Arial" w:cs="Arial"/>
          <w:color w:val="000000"/>
          <w:sz w:val="20"/>
          <w:szCs w:val="20"/>
        </w:rPr>
        <w:t>; математическое описание.</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before="113"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338.2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Digital transformation departments of industry transport logistics</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Dyakov</w:t>
      </w:r>
      <w:proofErr w:type="spellEnd"/>
      <w:r w:rsidRPr="00F22827">
        <w:rPr>
          <w:rFonts w:ascii="Arial" w:hAnsi="Arial" w:cs="Arial"/>
          <w:b/>
          <w:bCs/>
          <w:color w:val="000000"/>
          <w:lang w:val="en-US"/>
        </w:rPr>
        <w:t xml:space="preserve"> Sergey </w:t>
      </w:r>
      <w:proofErr w:type="spellStart"/>
      <w:r w:rsidRPr="00F22827">
        <w:rPr>
          <w:rFonts w:ascii="Arial" w:hAnsi="Arial" w:cs="Arial"/>
          <w:b/>
          <w:bCs/>
          <w:color w:val="000000"/>
          <w:lang w:val="en-US"/>
        </w:rPr>
        <w:t>Alexandrovich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 xml:space="preserve">Candidate of Economic Sciences, Associate Professor, </w:t>
      </w:r>
      <w:proofErr w:type="gramStart"/>
      <w:r w:rsidRPr="00F22827">
        <w:rPr>
          <w:rFonts w:ascii="Arial" w:hAnsi="Arial" w:cs="Arial"/>
          <w:i/>
          <w:iCs/>
          <w:color w:val="000000"/>
          <w:lang w:val="en-US"/>
        </w:rPr>
        <w:t>Kuban</w:t>
      </w:r>
      <w:proofErr w:type="gramEnd"/>
      <w:r w:rsidRPr="00F22827">
        <w:rPr>
          <w:rFonts w:ascii="Arial" w:hAnsi="Arial" w:cs="Arial"/>
          <w:i/>
          <w:iCs/>
          <w:color w:val="000000"/>
          <w:lang w:val="en-US"/>
        </w:rPr>
        <w:t xml:space="preserve"> State Agrarian University named after I.T. </w:t>
      </w:r>
      <w:proofErr w:type="spellStart"/>
      <w:r w:rsidRPr="00F22827">
        <w:rPr>
          <w:rFonts w:ascii="Arial" w:hAnsi="Arial" w:cs="Arial"/>
          <w:i/>
          <w:iCs/>
          <w:color w:val="000000"/>
          <w:lang w:val="en-US"/>
        </w:rPr>
        <w:t>Trubilin</w:t>
      </w:r>
      <w:proofErr w:type="spellEnd"/>
      <w:r w:rsidRPr="00F22827">
        <w:rPr>
          <w:rFonts w:ascii="Arial" w:hAnsi="Arial" w:cs="Arial"/>
          <w:i/>
          <w:iCs/>
          <w:color w:val="000000"/>
          <w:lang w:val="en-US"/>
        </w:rPr>
        <w:t>, Krasnodar, Russia, e-mail: docent.dyakov@mail.ru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Matveev</w:t>
      </w:r>
      <w:proofErr w:type="spellEnd"/>
      <w:r w:rsidRPr="00F22827">
        <w:rPr>
          <w:rFonts w:ascii="Arial" w:hAnsi="Arial" w:cs="Arial"/>
          <w:b/>
          <w:bCs/>
          <w:color w:val="000000"/>
          <w:lang w:val="en-US"/>
        </w:rPr>
        <w:t xml:space="preserve"> Alexander </w:t>
      </w:r>
      <w:proofErr w:type="spellStart"/>
      <w:r w:rsidRPr="00F22827">
        <w:rPr>
          <w:rFonts w:ascii="Arial" w:hAnsi="Arial" w:cs="Arial"/>
          <w:b/>
          <w:bCs/>
          <w:color w:val="000000"/>
          <w:lang w:val="en-US"/>
        </w:rPr>
        <w:t>Sergeevich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 xml:space="preserve">Student of the Faculty of Economics, Kuban State Agrarian University named after I.T. </w:t>
      </w:r>
      <w:proofErr w:type="spellStart"/>
      <w:r w:rsidRPr="00F22827">
        <w:rPr>
          <w:rFonts w:ascii="Arial" w:hAnsi="Arial" w:cs="Arial"/>
          <w:i/>
          <w:iCs/>
          <w:color w:val="000000"/>
          <w:lang w:val="en-US"/>
        </w:rPr>
        <w:t>Trubilin</w:t>
      </w:r>
      <w:proofErr w:type="spellEnd"/>
      <w:r w:rsidRPr="00F22827">
        <w:rPr>
          <w:rFonts w:ascii="Arial" w:hAnsi="Arial" w:cs="Arial"/>
          <w:i/>
          <w:iCs/>
          <w:color w:val="000000"/>
          <w:lang w:val="en-US"/>
        </w:rPr>
        <w:t xml:space="preserve">, Krasnodar, Russia, </w:t>
      </w:r>
      <w:proofErr w:type="gramStart"/>
      <w:r w:rsidRPr="00F22827">
        <w:rPr>
          <w:rFonts w:ascii="Arial" w:hAnsi="Arial" w:cs="Arial"/>
          <w:i/>
          <w:iCs/>
          <w:color w:val="000000"/>
          <w:lang w:val="en-US"/>
        </w:rPr>
        <w:t>e</w:t>
      </w:r>
      <w:proofErr w:type="gramEnd"/>
      <w:r w:rsidRPr="00F22827">
        <w:rPr>
          <w:rFonts w:ascii="Arial" w:hAnsi="Arial" w:cs="Arial"/>
          <w:i/>
          <w:iCs/>
          <w:color w:val="000000"/>
          <w:lang w:val="en-US"/>
        </w:rPr>
        <w:t>-mail: macedon99@yandex.ru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Pozoyan</w:t>
      </w:r>
      <w:proofErr w:type="spellEnd"/>
      <w:r w:rsidRPr="00F22827">
        <w:rPr>
          <w:rFonts w:ascii="Arial" w:hAnsi="Arial" w:cs="Arial"/>
          <w:b/>
          <w:bCs/>
          <w:color w:val="000000"/>
          <w:lang w:val="en-US"/>
        </w:rPr>
        <w:t xml:space="preserve"> David </w:t>
      </w:r>
      <w:proofErr w:type="spellStart"/>
      <w:r w:rsidRPr="00F22827">
        <w:rPr>
          <w:rFonts w:ascii="Arial" w:hAnsi="Arial" w:cs="Arial"/>
          <w:b/>
          <w:bCs/>
          <w:color w:val="000000"/>
          <w:lang w:val="en-US"/>
        </w:rPr>
        <w:t>Petrovich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 xml:space="preserve">Student of the Faculty of Economics, Kuban State Agrarian University named after I.T. </w:t>
      </w:r>
      <w:proofErr w:type="spellStart"/>
      <w:r w:rsidRPr="00F22827">
        <w:rPr>
          <w:rFonts w:ascii="Arial" w:hAnsi="Arial" w:cs="Arial"/>
          <w:i/>
          <w:iCs/>
          <w:color w:val="000000"/>
          <w:lang w:val="en-US"/>
        </w:rPr>
        <w:t>Trubilin</w:t>
      </w:r>
      <w:proofErr w:type="spellEnd"/>
      <w:r w:rsidRPr="00F22827">
        <w:rPr>
          <w:rFonts w:ascii="Arial" w:hAnsi="Arial" w:cs="Arial"/>
          <w:i/>
          <w:iCs/>
          <w:color w:val="000000"/>
          <w:lang w:val="en-US"/>
        </w:rPr>
        <w:t xml:space="preserve">, Krasnodar, Russia, </w:t>
      </w:r>
      <w:proofErr w:type="gramStart"/>
      <w:r w:rsidRPr="00F22827">
        <w:rPr>
          <w:rFonts w:ascii="Arial" w:hAnsi="Arial" w:cs="Arial"/>
          <w:i/>
          <w:iCs/>
          <w:color w:val="000000"/>
          <w:lang w:val="en-US"/>
        </w:rPr>
        <w:t>e</w:t>
      </w:r>
      <w:proofErr w:type="gramEnd"/>
      <w:r w:rsidRPr="00F22827">
        <w:rPr>
          <w:rFonts w:ascii="Arial" w:hAnsi="Arial" w:cs="Arial"/>
          <w:i/>
          <w:iCs/>
          <w:color w:val="000000"/>
          <w:lang w:val="en-US"/>
        </w:rPr>
        <w:t>-mail: pozojan.d@yandex.ru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The article is devoted to the issues of improving the management process of industry transport logistics on the example of the logistics freight railway company JSC "FGK". The rationale for the need to develop an algorithm for the effective management of the company's car fleet within the framework of a multi-level planning system is given. The authors have developed an algorithm that allows choosing the most profitable transportation, supplementing the optimal scheme with the inevitable empty transfers of wagons.</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digitalization; logistics; railway industry; transformation; automated system; car traffic; mathematical description.</w:t>
      </w:r>
    </w:p>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2712-7516_2021_1_3_24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УДК 338.984</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Методика операционного исследования, используемая для оптимизации ресурсов предприятия</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Сильченков Иван Александрович,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аспирант, Российская академия народного хозяйства и государственной службы при Президенте Российской Федерации, г. Москва,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xml:space="preserve">: silchenkov33@mail.ru </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В статье показано, что информационная система управления цехом – э</w:t>
      </w:r>
      <w:bookmarkStart w:id="0" w:name="_GoBack"/>
      <w:bookmarkEnd w:id="0"/>
      <w:r w:rsidRPr="00F22827">
        <w:rPr>
          <w:rFonts w:ascii="Arial" w:hAnsi="Arial" w:cs="Arial"/>
          <w:color w:val="000000"/>
          <w:sz w:val="20"/>
          <w:szCs w:val="20"/>
        </w:rPr>
        <w:t xml:space="preserve">то отдельный модуль в системе планирования общеорганизационных ресурсов предприятия. Информационная система управления цехом обычно имеет четыре общие процедуры: выпуск; планирование; мониторинг; обновление. Все данные рассчитываются по методике операционного исследования предприятий и используются для оптимизации ресурсов. Производственные процессы, такие как автоматизированное проектирование, производственный контроль, планирование производства и управление закупками, обычно включают совместный процесс. </w:t>
      </w:r>
      <w:r w:rsidRPr="00F22827">
        <w:rPr>
          <w:rFonts w:ascii="Arial" w:hAnsi="Arial" w:cs="Arial"/>
          <w:color w:val="000000"/>
          <w:sz w:val="20"/>
          <w:szCs w:val="20"/>
        </w:rPr>
        <w:lastRenderedPageBreak/>
        <w:t>Совместные производственные сети могут связывать работников с предприятиями или включать представителей от поставщиков или клиентов, где бы они ни находились.</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xml:space="preserve"> методика операционного исследования; оптимизация ресурсов предприятия; информационная система управления; планирование общеорганизационных ресурсов.</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338.984</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Operational research technique used to optimize enterprise resources</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Silchenkov</w:t>
      </w:r>
      <w:proofErr w:type="spellEnd"/>
      <w:r w:rsidRPr="00F22827">
        <w:rPr>
          <w:rFonts w:ascii="Arial" w:hAnsi="Arial" w:cs="Arial"/>
          <w:b/>
          <w:bCs/>
          <w:color w:val="000000"/>
          <w:lang w:val="en-US"/>
        </w:rPr>
        <w:t xml:space="preserve"> Ivan </w:t>
      </w:r>
      <w:proofErr w:type="spellStart"/>
      <w:r w:rsidRPr="00F22827">
        <w:rPr>
          <w:rFonts w:ascii="Arial" w:hAnsi="Arial" w:cs="Arial"/>
          <w:b/>
          <w:bCs/>
          <w:color w:val="000000"/>
          <w:lang w:val="en-US"/>
        </w:rPr>
        <w:t>Alexandrovich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F22827">
        <w:rPr>
          <w:rFonts w:ascii="Arial" w:hAnsi="Arial" w:cs="Arial"/>
          <w:i/>
          <w:iCs/>
          <w:color w:val="000000"/>
          <w:lang w:val="en-US"/>
        </w:rPr>
        <w:t>postgraduate</w:t>
      </w:r>
      <w:proofErr w:type="gramEnd"/>
      <w:r w:rsidRPr="00F22827">
        <w:rPr>
          <w:rFonts w:ascii="Arial" w:hAnsi="Arial" w:cs="Arial"/>
          <w:i/>
          <w:iCs/>
          <w:color w:val="000000"/>
          <w:lang w:val="en-US"/>
        </w:rPr>
        <w:t xml:space="preserve"> student, Russian Academy of National Economy and Public Administration under the President of the Russian Federation, Moscow, Russia, e-mail: silchenkov33@mail.ru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 xml:space="preserve">The article shows that the workshop management information system is a separate module in the enterprise </w:t>
      </w:r>
      <w:proofErr w:type="spellStart"/>
      <w:r w:rsidRPr="00F22827">
        <w:rPr>
          <w:rFonts w:ascii="Arial" w:hAnsi="Arial" w:cs="Arial"/>
          <w:color w:val="000000"/>
          <w:sz w:val="20"/>
          <w:szCs w:val="20"/>
          <w:lang w:val="en-US"/>
        </w:rPr>
        <w:t>enterprise</w:t>
      </w:r>
      <w:proofErr w:type="spellEnd"/>
      <w:r w:rsidRPr="00F22827">
        <w:rPr>
          <w:rFonts w:ascii="Arial" w:hAnsi="Arial" w:cs="Arial"/>
          <w:color w:val="000000"/>
          <w:sz w:val="20"/>
          <w:szCs w:val="20"/>
          <w:lang w:val="en-US"/>
        </w:rPr>
        <w:t xml:space="preserve"> resource planning system. A shop floor information system usually has four general procedures: release; planning; monitoring; update. All data is calculated according to the method of operational research of enterprises and used to optimize resources. Manufacturing processes such as computer-aided design, manufacturing control, production planning, and purchasing management typically involve a collaborative process. Shared production networks can link workers to businesses or include representatives from suppliers or customers, wherever they are.</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operational research methodology; optimization of enterprise resources; management information system; enterprise resource planning.</w:t>
      </w:r>
    </w:p>
    <w:p w:rsidR="00F22827" w:rsidRDefault="00F22827" w:rsidP="00133532"/>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2712-7516_2021_1_3_28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УДК 332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Основные тенденции и перспективы развития строительного комплекса в Республике Дагестан</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proofErr w:type="spellStart"/>
      <w:r w:rsidRPr="00F22827">
        <w:rPr>
          <w:rFonts w:ascii="Arial" w:hAnsi="Arial" w:cs="Arial"/>
          <w:b/>
          <w:bCs/>
          <w:color w:val="000000"/>
        </w:rPr>
        <w:t>Ашуралиева</w:t>
      </w:r>
      <w:proofErr w:type="spellEnd"/>
      <w:r w:rsidRPr="00F22827">
        <w:rPr>
          <w:rFonts w:ascii="Arial" w:hAnsi="Arial" w:cs="Arial"/>
          <w:b/>
          <w:bCs/>
          <w:color w:val="000000"/>
        </w:rPr>
        <w:t xml:space="preserve"> Дженнет Руслановна, </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 xml:space="preserve">кандидат экономических наук, доцент, доцент кафедры мировой и региональной экономики, Дагестанский государственный университет, г. Махачкала, Россия, </w:t>
      </w:r>
      <w:proofErr w:type="gramStart"/>
      <w:r w:rsidRPr="00F22827">
        <w:rPr>
          <w:rFonts w:ascii="Arial" w:hAnsi="Arial" w:cs="Arial"/>
          <w:i/>
          <w:iCs/>
          <w:color w:val="000000"/>
        </w:rPr>
        <w:t>е</w:t>
      </w:r>
      <w:proofErr w:type="gramEnd"/>
      <w:r w:rsidRPr="00F22827">
        <w:rPr>
          <w:rFonts w:ascii="Arial" w:hAnsi="Arial" w:cs="Arial"/>
          <w:i/>
          <w:iCs/>
          <w:color w:val="000000"/>
        </w:rPr>
        <w:t>-</w:t>
      </w:r>
      <w:proofErr w:type="spellStart"/>
      <w:r w:rsidRPr="00F22827">
        <w:rPr>
          <w:rFonts w:ascii="Arial" w:hAnsi="Arial" w:cs="Arial"/>
          <w:i/>
          <w:iCs/>
          <w:color w:val="000000"/>
        </w:rPr>
        <w:t>mail</w:t>
      </w:r>
      <w:proofErr w:type="spellEnd"/>
      <w:r w:rsidRPr="00F22827">
        <w:rPr>
          <w:rFonts w:ascii="Arial" w:hAnsi="Arial" w:cs="Arial"/>
          <w:i/>
          <w:iCs/>
          <w:color w:val="000000"/>
        </w:rPr>
        <w:t>: ashuralieva.djennet@yandex.ru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proofErr w:type="spellStart"/>
      <w:r w:rsidRPr="00F22827">
        <w:rPr>
          <w:rFonts w:ascii="Arial" w:hAnsi="Arial" w:cs="Arial"/>
          <w:b/>
          <w:bCs/>
          <w:color w:val="000000"/>
        </w:rPr>
        <w:t>Казакаева</w:t>
      </w:r>
      <w:proofErr w:type="spellEnd"/>
      <w:r w:rsidRPr="00F22827">
        <w:rPr>
          <w:rFonts w:ascii="Arial" w:hAnsi="Arial" w:cs="Arial"/>
          <w:b/>
          <w:bCs/>
          <w:color w:val="000000"/>
        </w:rPr>
        <w:t xml:space="preserve"> </w:t>
      </w:r>
      <w:proofErr w:type="spellStart"/>
      <w:r w:rsidRPr="00F22827">
        <w:rPr>
          <w:rFonts w:ascii="Arial" w:hAnsi="Arial" w:cs="Arial"/>
          <w:b/>
          <w:bCs/>
          <w:color w:val="000000"/>
        </w:rPr>
        <w:t>Алжанат</w:t>
      </w:r>
      <w:proofErr w:type="spellEnd"/>
      <w:r w:rsidRPr="00F22827">
        <w:rPr>
          <w:rFonts w:ascii="Arial" w:hAnsi="Arial" w:cs="Arial"/>
          <w:b/>
          <w:bCs/>
          <w:color w:val="000000"/>
        </w:rPr>
        <w:t xml:space="preserve"> Магомедовна,</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 xml:space="preserve">кандидат экономических наук, доцент, доцент кафедры бухгалтерского учета – 1, Дагестанский государственный университет народного хозяйства, г. Махачкала, Россия, </w:t>
      </w:r>
      <w:proofErr w:type="gramStart"/>
      <w:r w:rsidRPr="00F22827">
        <w:rPr>
          <w:rFonts w:ascii="Arial" w:hAnsi="Arial" w:cs="Arial"/>
          <w:i/>
          <w:iCs/>
          <w:color w:val="000000"/>
        </w:rPr>
        <w:t>е</w:t>
      </w:r>
      <w:proofErr w:type="gramEnd"/>
      <w:r w:rsidRPr="00F22827">
        <w:rPr>
          <w:rFonts w:ascii="Arial" w:hAnsi="Arial" w:cs="Arial"/>
          <w:i/>
          <w:iCs/>
          <w:color w:val="000000"/>
        </w:rPr>
        <w:t>-</w:t>
      </w:r>
      <w:proofErr w:type="spellStart"/>
      <w:r w:rsidRPr="00F22827">
        <w:rPr>
          <w:rFonts w:ascii="Arial" w:hAnsi="Arial" w:cs="Arial"/>
          <w:i/>
          <w:iCs/>
          <w:color w:val="000000"/>
        </w:rPr>
        <w:t>mail</w:t>
      </w:r>
      <w:proofErr w:type="spellEnd"/>
      <w:r w:rsidRPr="00F22827">
        <w:rPr>
          <w:rFonts w:ascii="Arial" w:hAnsi="Arial" w:cs="Arial"/>
          <w:i/>
          <w:iCs/>
          <w:color w:val="000000"/>
        </w:rPr>
        <w:t>: alzhanat@inbox.ru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 xml:space="preserve">Мусаева </w:t>
      </w:r>
      <w:proofErr w:type="spellStart"/>
      <w:r w:rsidRPr="00F22827">
        <w:rPr>
          <w:rFonts w:ascii="Arial" w:hAnsi="Arial" w:cs="Arial"/>
          <w:b/>
          <w:bCs/>
          <w:color w:val="000000"/>
        </w:rPr>
        <w:t>Аминат</w:t>
      </w:r>
      <w:proofErr w:type="spellEnd"/>
      <w:r w:rsidRPr="00F22827">
        <w:rPr>
          <w:rFonts w:ascii="Arial" w:hAnsi="Arial" w:cs="Arial"/>
          <w:b/>
          <w:bCs/>
          <w:color w:val="000000"/>
        </w:rPr>
        <w:t xml:space="preserve"> </w:t>
      </w:r>
      <w:proofErr w:type="spellStart"/>
      <w:r w:rsidRPr="00F22827">
        <w:rPr>
          <w:rFonts w:ascii="Arial" w:hAnsi="Arial" w:cs="Arial"/>
          <w:b/>
          <w:bCs/>
          <w:color w:val="000000"/>
        </w:rPr>
        <w:t>Мустафаевна</w:t>
      </w:r>
      <w:proofErr w:type="spellEnd"/>
      <w:r w:rsidRPr="00F22827">
        <w:rPr>
          <w:rFonts w:ascii="Arial" w:hAnsi="Arial" w:cs="Arial"/>
          <w:b/>
          <w:bCs/>
          <w:color w:val="000000"/>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 xml:space="preserve">кандидат экономических наук, доцент, доцент кафедры экономической безопасности, анализа и аудита, Дагестанский государственный университет, г. Махачкала, Россия, </w:t>
      </w:r>
      <w:proofErr w:type="gramStart"/>
      <w:r w:rsidRPr="00F22827">
        <w:rPr>
          <w:rFonts w:ascii="Arial" w:hAnsi="Arial" w:cs="Arial"/>
          <w:i/>
          <w:iCs/>
          <w:color w:val="000000"/>
        </w:rPr>
        <w:t>е</w:t>
      </w:r>
      <w:proofErr w:type="gramEnd"/>
      <w:r w:rsidRPr="00F22827">
        <w:rPr>
          <w:rFonts w:ascii="Arial" w:hAnsi="Arial" w:cs="Arial"/>
          <w:i/>
          <w:iCs/>
          <w:color w:val="000000"/>
        </w:rPr>
        <w:t>-</w:t>
      </w:r>
      <w:proofErr w:type="spellStart"/>
      <w:r w:rsidRPr="00F22827">
        <w:rPr>
          <w:rFonts w:ascii="Arial" w:hAnsi="Arial" w:cs="Arial"/>
          <w:i/>
          <w:iCs/>
          <w:color w:val="000000"/>
        </w:rPr>
        <w:t>mail</w:t>
      </w:r>
      <w:proofErr w:type="spellEnd"/>
      <w:r w:rsidRPr="00F22827">
        <w:rPr>
          <w:rFonts w:ascii="Arial" w:hAnsi="Arial" w:cs="Arial"/>
          <w:i/>
          <w:iCs/>
          <w:color w:val="000000"/>
        </w:rPr>
        <w:t>: Musaeva.aminat@yandex.ru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На сегодняшний день наблюдается динамичное развитие строительного комплекса Республики Дагестан, которое обеспечивает повышение качества жизни населения территории и создание условий для его воспроизводства, способствуя достижению сбалансированного и комплексного развития регионов и национальной экономики за счет сокращения существующих межтерриториальных и межрегиональных различий в уровне обеспеченности жильем. Строительный комплекс обеспечивает создание новых объектов, производственных мощностей, реконструкцию существующих зданий, жилых и нежилых помещений всех видов собственности: государственной, федеральной, региональной, муниципальной и частной.</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строительный комплекс; ипотечный кредит; строительство.</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332</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 xml:space="preserve">Main trends and prospects for the development </w:t>
      </w:r>
      <w:r w:rsidRPr="00F22827">
        <w:rPr>
          <w:rFonts w:ascii="Helios" w:hAnsi="Helios" w:cs="Helios"/>
          <w:b/>
          <w:bCs/>
          <w:caps/>
          <w:color w:val="000000"/>
          <w:sz w:val="30"/>
          <w:szCs w:val="30"/>
          <w:lang w:val="en-US"/>
        </w:rPr>
        <w:br/>
        <w:t xml:space="preserve">of the construction complex in the Republic </w:t>
      </w:r>
      <w:r w:rsidRPr="00F22827">
        <w:rPr>
          <w:rFonts w:ascii="Helios" w:hAnsi="Helios" w:cs="Helios"/>
          <w:b/>
          <w:bCs/>
          <w:caps/>
          <w:color w:val="000000"/>
          <w:sz w:val="30"/>
          <w:szCs w:val="30"/>
          <w:lang w:val="en-US"/>
        </w:rPr>
        <w:br/>
      </w:r>
      <w:r w:rsidRPr="00F22827">
        <w:rPr>
          <w:rFonts w:ascii="Helios" w:hAnsi="Helios" w:cs="Helios"/>
          <w:b/>
          <w:bCs/>
          <w:caps/>
          <w:color w:val="000000"/>
          <w:sz w:val="30"/>
          <w:szCs w:val="30"/>
        </w:rPr>
        <w:t>о</w:t>
      </w:r>
      <w:r w:rsidRPr="00F22827">
        <w:rPr>
          <w:rFonts w:ascii="Helios" w:hAnsi="Helios" w:cs="Helios"/>
          <w:b/>
          <w:bCs/>
          <w:caps/>
          <w:color w:val="000000"/>
          <w:sz w:val="30"/>
          <w:szCs w:val="30"/>
          <w:lang w:val="en-US"/>
        </w:rPr>
        <w:t>f Dagestan</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Ashuralieva</w:t>
      </w:r>
      <w:proofErr w:type="spellEnd"/>
      <w:r w:rsidRPr="00F22827">
        <w:rPr>
          <w:rFonts w:ascii="Arial" w:hAnsi="Arial" w:cs="Arial"/>
          <w:b/>
          <w:bCs/>
          <w:color w:val="000000"/>
          <w:lang w:val="en-US"/>
        </w:rPr>
        <w:t xml:space="preserve"> Jennet </w:t>
      </w:r>
      <w:proofErr w:type="spellStart"/>
      <w:r w:rsidRPr="00F22827">
        <w:rPr>
          <w:rFonts w:ascii="Arial" w:hAnsi="Arial" w:cs="Arial"/>
          <w:b/>
          <w:bCs/>
          <w:color w:val="000000"/>
          <w:lang w:val="en-US"/>
        </w:rPr>
        <w:t>Ruslanovna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Candidate of Economic Sciences, Associate Professor, Associate Professor of the Department of World and Regional Economics, Dagestan State University, Makhachkala, Russia, e-mail: ashuralieva.djennet@yandex.ru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Kazakaeva</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Alzhanat</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Magomedovna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Candidate of Economic Sciences, Associate Professor, Associate Professor of the Department «Accounting–1», Dagestan State University of National Economy, Makhachkala, Russia, e-mail: alzhanat@inbox.ru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Musaeva</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Aminat</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Mustafaevna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Candidate of Economic Sciences, Associate Professor, Associate Professor of the Department of Economic Security, Analysis and Audit, Dagestan State University, Makhachkala, Russia, e-mail: Musaeva.aminat@yandex.ru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 xml:space="preserve">Today, there is a dynamic development of the construction complex of the Republic of Dagestan, which ensures an increase in the quality of life of the population of the territory and the creation of conditions for its reproduction, contributing to the achievement of a balanced and integrated development of the regions and the national economy by reducing the existing inter-territorial and inter-regional differences in the level of housing provision. The construction complex ensures the creation of new facilities, production facilities, </w:t>
      </w:r>
      <w:proofErr w:type="gramStart"/>
      <w:r w:rsidRPr="00F22827">
        <w:rPr>
          <w:rFonts w:ascii="Arial" w:hAnsi="Arial" w:cs="Arial"/>
          <w:color w:val="000000"/>
          <w:sz w:val="20"/>
          <w:szCs w:val="20"/>
          <w:lang w:val="en-US"/>
        </w:rPr>
        <w:t>the</w:t>
      </w:r>
      <w:proofErr w:type="gramEnd"/>
      <w:r w:rsidRPr="00F22827">
        <w:rPr>
          <w:rFonts w:ascii="Arial" w:hAnsi="Arial" w:cs="Arial"/>
          <w:color w:val="000000"/>
          <w:sz w:val="20"/>
          <w:szCs w:val="20"/>
          <w:lang w:val="en-US"/>
        </w:rPr>
        <w:t xml:space="preserve"> reconstruction of existing buildings, residential and non-residential premises of all types of property: state, federal, regional, municipal and private.</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building complex; mortgage; building.</w:t>
      </w:r>
    </w:p>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2712-7516_2021_1_3_33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УДК 332.14</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Вклад лесного сектора в развитие зеленой экономики региона</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Орлова Олеся Николаевна,</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Горно-Алтайский государственный университет, г. Горно-Алтайск,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orlol04@mail.ru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 xml:space="preserve">В статье рассмотрены основные проблемы лесной отрасли </w:t>
      </w:r>
      <w:proofErr w:type="gramStart"/>
      <w:r w:rsidRPr="00F22827">
        <w:rPr>
          <w:rFonts w:ascii="Arial" w:hAnsi="Arial" w:cs="Arial"/>
          <w:color w:val="000000"/>
          <w:sz w:val="20"/>
          <w:szCs w:val="20"/>
        </w:rPr>
        <w:t>Республики</w:t>
      </w:r>
      <w:proofErr w:type="gramEnd"/>
      <w:r w:rsidRPr="00F22827">
        <w:rPr>
          <w:rFonts w:ascii="Arial" w:hAnsi="Arial" w:cs="Arial"/>
          <w:color w:val="000000"/>
          <w:sz w:val="20"/>
          <w:szCs w:val="20"/>
        </w:rPr>
        <w:t xml:space="preserve"> Алтай, обозначены возможности применения принципов концепции зеленой экономики для их решения. Лесной сектор Республики Алтай не является отраслью, дающей региону значительный вклад в формирование валового регионального продукта, однако его значимость и важность для региона, более 40 % площади которого порыто лесом, неоспорима. </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xml:space="preserve"> устойчивое развитие; зеленая экономика; лесной сектор; Республика Алтай.</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332.14</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Contribution of the forest sector to the development of the green economy of the region</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Orlova</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Olesya</w:t>
      </w:r>
      <w:proofErr w:type="spellEnd"/>
      <w:r w:rsidRPr="00F22827">
        <w:rPr>
          <w:rFonts w:ascii="Arial" w:hAnsi="Arial" w:cs="Arial"/>
          <w:b/>
          <w:bCs/>
          <w:color w:val="000000"/>
          <w:lang w:val="en-US"/>
        </w:rPr>
        <w:t xml:space="preserve"> </w:t>
      </w:r>
      <w:proofErr w:type="spellStart"/>
      <w:r w:rsidRPr="00F22827">
        <w:rPr>
          <w:rFonts w:ascii="Arial" w:hAnsi="Arial" w:cs="Arial"/>
          <w:b/>
          <w:bCs/>
          <w:color w:val="000000"/>
          <w:lang w:val="en-US"/>
        </w:rPr>
        <w:t>Nikolaevna</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proofErr w:type="spellStart"/>
      <w:r w:rsidRPr="00F22827">
        <w:rPr>
          <w:rFonts w:ascii="Arial" w:hAnsi="Arial" w:cs="Arial"/>
          <w:i/>
          <w:iCs/>
          <w:color w:val="000000"/>
          <w:lang w:val="en-US"/>
        </w:rPr>
        <w:lastRenderedPageBreak/>
        <w:t>Gorno-Altaisk</w:t>
      </w:r>
      <w:proofErr w:type="spellEnd"/>
      <w:r w:rsidRPr="00F22827">
        <w:rPr>
          <w:rFonts w:ascii="Arial" w:hAnsi="Arial" w:cs="Arial"/>
          <w:i/>
          <w:iCs/>
          <w:color w:val="000000"/>
          <w:lang w:val="en-US"/>
        </w:rPr>
        <w:t xml:space="preserve"> State University, </w:t>
      </w:r>
      <w:proofErr w:type="spellStart"/>
      <w:r w:rsidRPr="00F22827">
        <w:rPr>
          <w:rFonts w:ascii="Arial" w:hAnsi="Arial" w:cs="Arial"/>
          <w:i/>
          <w:iCs/>
          <w:color w:val="000000"/>
          <w:lang w:val="en-US"/>
        </w:rPr>
        <w:t>Gorno-Altaisk</w:t>
      </w:r>
      <w:proofErr w:type="spellEnd"/>
      <w:r w:rsidRPr="00F22827">
        <w:rPr>
          <w:rFonts w:ascii="Arial" w:hAnsi="Arial" w:cs="Arial"/>
          <w:i/>
          <w:iCs/>
          <w:color w:val="000000"/>
          <w:lang w:val="en-US"/>
        </w:rPr>
        <w:t>, Russia, e-mail: orlol04@mail.ru</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The article considers the main problems of the forest industry of the Altai Republic, outlines the possibilities of applying the principles of the concept of green economy to solve them. The forest sector of the Altai Republic is not an industry that gives the region a significant contribution to the formation of the gross regional product, but its significance and importance for the region, more than 40% of the area covered by forest, is undeniable.</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sustainable development; green economy; the forestry sector; Altai Republic.</w:t>
      </w:r>
    </w:p>
    <w:p w:rsidR="00F22827" w:rsidRDefault="00F22827" w:rsidP="00133532"/>
    <w:p w:rsidR="00F22827" w:rsidRPr="00F22827" w:rsidRDefault="00F22827" w:rsidP="00F22827">
      <w:pPr>
        <w:autoSpaceDE w:val="0"/>
        <w:autoSpaceDN w:val="0"/>
        <w:adjustRightInd w:val="0"/>
        <w:spacing w:after="227" w:line="288" w:lineRule="auto"/>
        <w:textAlignment w:val="center"/>
        <w:rPr>
          <w:rFonts w:ascii="Arial" w:hAnsi="Arial" w:cs="Arial"/>
          <w:color w:val="000000"/>
          <w:sz w:val="28"/>
          <w:szCs w:val="28"/>
        </w:rPr>
      </w:pPr>
      <w:r w:rsidRPr="00F22827">
        <w:rPr>
          <w:rFonts w:ascii="Arial" w:hAnsi="Arial" w:cs="Arial"/>
          <w:b/>
          <w:bCs/>
          <w:color w:val="000000"/>
          <w:sz w:val="28"/>
          <w:szCs w:val="28"/>
          <w:lang w:val="en-US"/>
        </w:rPr>
        <w:t>DOI</w:t>
      </w:r>
      <w:r w:rsidRPr="00F22827">
        <w:rPr>
          <w:rFonts w:ascii="Arial" w:hAnsi="Arial" w:cs="Arial"/>
          <w:b/>
          <w:bCs/>
          <w:color w:val="000000"/>
          <w:sz w:val="28"/>
          <w:szCs w:val="28"/>
        </w:rPr>
        <w:t xml:space="preserve"> 10.47576/</w:t>
      </w:r>
      <w:r w:rsidRPr="00F22827">
        <w:rPr>
          <w:rFonts w:ascii="Arial" w:hAnsi="Arial" w:cs="Arial"/>
          <w:color w:val="000000"/>
          <w:sz w:val="28"/>
          <w:szCs w:val="28"/>
        </w:rPr>
        <w:t xml:space="preserve">2712-7516_2021_1_3_39 </w:t>
      </w: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rPr>
      </w:pPr>
      <w:r w:rsidRPr="00F22827">
        <w:rPr>
          <w:rFonts w:ascii="Arial" w:hAnsi="Arial" w:cs="Arial"/>
          <w:b/>
          <w:bCs/>
          <w:color w:val="000000"/>
          <w:sz w:val="28"/>
          <w:szCs w:val="28"/>
        </w:rPr>
        <w:t>УДК 331</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22827">
        <w:rPr>
          <w:rFonts w:ascii="Helios" w:hAnsi="Helios" w:cs="Helios"/>
          <w:b/>
          <w:bCs/>
          <w:caps/>
          <w:color w:val="000000"/>
          <w:sz w:val="30"/>
          <w:szCs w:val="30"/>
        </w:rPr>
        <w:t>Разработка методов оценки и мониторинга проектов наукоемких предприятий в условиях действия экономических рисков</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r w:rsidRPr="00F22827">
        <w:rPr>
          <w:rFonts w:ascii="Arial" w:hAnsi="Arial" w:cs="Arial"/>
          <w:b/>
          <w:bCs/>
          <w:color w:val="000000"/>
        </w:rPr>
        <w:t>Альберто Габриель Энрике,</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ассистент кафедры прикладной экономики, Российский университет дружбы народов, г. Москва,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alberto.gabriel@yandex.ru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proofErr w:type="spellStart"/>
      <w:r w:rsidRPr="00F22827">
        <w:rPr>
          <w:rFonts w:ascii="Arial" w:hAnsi="Arial" w:cs="Arial"/>
          <w:b/>
          <w:bCs/>
          <w:color w:val="000000"/>
        </w:rPr>
        <w:t>Чурсин</w:t>
      </w:r>
      <w:proofErr w:type="spellEnd"/>
      <w:r w:rsidRPr="00F22827">
        <w:rPr>
          <w:rFonts w:ascii="Arial" w:hAnsi="Arial" w:cs="Arial"/>
          <w:b/>
          <w:bCs/>
          <w:color w:val="000000"/>
        </w:rPr>
        <w:t xml:space="preserve"> Александр Александрович,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заведующий кафедрой прикладной экономики, Российский университет дружбы народов, г. Москва, Россия, e-</w:t>
      </w:r>
      <w:proofErr w:type="spellStart"/>
      <w:r w:rsidRPr="00F22827">
        <w:rPr>
          <w:rFonts w:ascii="Arial" w:hAnsi="Arial" w:cs="Arial"/>
          <w:i/>
          <w:iCs/>
          <w:color w:val="000000"/>
        </w:rPr>
        <w:t>mail</w:t>
      </w:r>
      <w:proofErr w:type="spellEnd"/>
      <w:r w:rsidRPr="00F22827">
        <w:rPr>
          <w:rFonts w:ascii="Arial" w:hAnsi="Arial" w:cs="Arial"/>
          <w:i/>
          <w:iCs/>
          <w:color w:val="000000"/>
        </w:rPr>
        <w:t>: chursin-aa@rudn.ru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rPr>
      </w:pPr>
      <w:proofErr w:type="spellStart"/>
      <w:r w:rsidRPr="00F22827">
        <w:rPr>
          <w:rFonts w:ascii="Arial" w:hAnsi="Arial" w:cs="Arial"/>
          <w:b/>
          <w:bCs/>
          <w:color w:val="000000"/>
        </w:rPr>
        <w:t>Кутахов</w:t>
      </w:r>
      <w:proofErr w:type="spellEnd"/>
      <w:r w:rsidRPr="00F22827">
        <w:rPr>
          <w:rFonts w:ascii="Arial" w:hAnsi="Arial" w:cs="Arial"/>
          <w:b/>
          <w:bCs/>
          <w:color w:val="000000"/>
        </w:rPr>
        <w:t xml:space="preserve"> Владимир Павлович,</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rPr>
      </w:pPr>
      <w:r w:rsidRPr="00F22827">
        <w:rPr>
          <w:rFonts w:ascii="Arial" w:hAnsi="Arial" w:cs="Arial"/>
          <w:i/>
          <w:iCs/>
          <w:color w:val="000000"/>
        </w:rPr>
        <w:t>директор Проектного комплекса «Роботизированные авиационные системы», НИЦ «Институт имени Н.Е. Жуковского»</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z w:val="20"/>
          <w:szCs w:val="20"/>
        </w:rPr>
        <w:t>Реализация проектов, связанных с производством наукоемкой продукции, нуждается в оперативном мониторинге для принятия управленческих решений с целью успешной их реализации. Необходимо использовать экономико-математические модели для оперативного анализа многомерной информации, поступающей в результате выполнения проектов и программ. Мониторинг выполнения реализуемых наукоемкими предприятиями проектов является механизмом, позволяющим в режиме реального времени получать независимую оценку развития, динамики текущих и возможных изменений проектов, оперативно проводить анализ важнейших факторов и рисков, определяющих состояние реализации проектов на определенном этапе.</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r w:rsidRPr="00F22827">
        <w:rPr>
          <w:rFonts w:ascii="Arial" w:hAnsi="Arial" w:cs="Arial"/>
          <w:color w:val="000000"/>
          <w:spacing w:val="43"/>
          <w:sz w:val="20"/>
          <w:szCs w:val="20"/>
        </w:rPr>
        <w:t>Ключевые слова:</w:t>
      </w:r>
      <w:r w:rsidRPr="00F22827">
        <w:rPr>
          <w:rFonts w:ascii="Arial" w:hAnsi="Arial" w:cs="Arial"/>
          <w:color w:val="000000"/>
          <w:sz w:val="20"/>
          <w:szCs w:val="20"/>
        </w:rPr>
        <w:t xml:space="preserve"> оценка проектов; наукоемкое предприятие; экономические риски; мониторинг; эффективность.</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22827" w:rsidRPr="00F22827" w:rsidRDefault="00F22827" w:rsidP="00F22827">
      <w:pPr>
        <w:autoSpaceDE w:val="0"/>
        <w:autoSpaceDN w:val="0"/>
        <w:adjustRightInd w:val="0"/>
        <w:spacing w:after="227" w:line="288" w:lineRule="auto"/>
        <w:textAlignment w:val="center"/>
        <w:rPr>
          <w:rFonts w:ascii="Arial" w:hAnsi="Arial" w:cs="Arial"/>
          <w:b/>
          <w:bCs/>
          <w:color w:val="000000"/>
          <w:sz w:val="28"/>
          <w:szCs w:val="28"/>
          <w:lang w:val="en-US"/>
        </w:rPr>
      </w:pPr>
      <w:r w:rsidRPr="00F22827">
        <w:rPr>
          <w:rFonts w:ascii="Arial" w:hAnsi="Arial" w:cs="Arial"/>
          <w:b/>
          <w:bCs/>
          <w:color w:val="000000"/>
          <w:sz w:val="28"/>
          <w:szCs w:val="28"/>
          <w:lang w:val="en-US"/>
        </w:rPr>
        <w:t>UDC 331</w:t>
      </w:r>
    </w:p>
    <w:p w:rsidR="00F22827" w:rsidRPr="00F22827" w:rsidRDefault="00F22827" w:rsidP="00F2282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22827">
        <w:rPr>
          <w:rFonts w:ascii="Helios" w:hAnsi="Helios" w:cs="Helios"/>
          <w:b/>
          <w:bCs/>
          <w:caps/>
          <w:color w:val="000000"/>
          <w:sz w:val="30"/>
          <w:szCs w:val="30"/>
          <w:lang w:val="en-US"/>
        </w:rPr>
        <w:t xml:space="preserve">Development of methods for evaluating </w:t>
      </w:r>
      <w:r w:rsidRPr="00F22827">
        <w:rPr>
          <w:rFonts w:ascii="Helios" w:hAnsi="Helios" w:cs="Helios"/>
          <w:b/>
          <w:bCs/>
          <w:caps/>
          <w:color w:val="000000"/>
          <w:sz w:val="30"/>
          <w:szCs w:val="30"/>
          <w:lang w:val="en-US"/>
        </w:rPr>
        <w:br/>
        <w:t>and monitoring projects of science-intensive enterprises in the context of economic risks</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r w:rsidRPr="00F22827">
        <w:rPr>
          <w:rFonts w:ascii="Arial" w:hAnsi="Arial" w:cs="Arial"/>
          <w:b/>
          <w:bCs/>
          <w:color w:val="000000"/>
          <w:lang w:val="en-US"/>
        </w:rPr>
        <w:t>Alberto Gabriel Enrique,</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Assistant of the Department of Applied Economics, Peoples’ Friendship University of Russia, Moscow, Russia, e-mail: alberto.gabriel@yandex.ru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Chursin</w:t>
      </w:r>
      <w:proofErr w:type="spellEnd"/>
      <w:r w:rsidRPr="00F22827">
        <w:rPr>
          <w:rFonts w:ascii="Arial" w:hAnsi="Arial" w:cs="Arial"/>
          <w:b/>
          <w:bCs/>
          <w:color w:val="000000"/>
          <w:lang w:val="en-US"/>
        </w:rPr>
        <w:t xml:space="preserve"> Alexander </w:t>
      </w:r>
      <w:proofErr w:type="spellStart"/>
      <w:r w:rsidRPr="00F22827">
        <w:rPr>
          <w:rFonts w:ascii="Arial" w:hAnsi="Arial" w:cs="Arial"/>
          <w:b/>
          <w:bCs/>
          <w:color w:val="000000"/>
          <w:lang w:val="en-US"/>
        </w:rPr>
        <w:t>Alexandrovich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t>Head of the Department of Applied Economics, Peoples’ Friendship University of Russia, Moscow, Russia, e-mail: chursin-aa@rudn.ru</w:t>
      </w:r>
    </w:p>
    <w:p w:rsidR="00F22827" w:rsidRPr="00F22827" w:rsidRDefault="00F22827" w:rsidP="00F2282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22827">
        <w:rPr>
          <w:rFonts w:ascii="Arial" w:hAnsi="Arial" w:cs="Arial"/>
          <w:b/>
          <w:bCs/>
          <w:color w:val="000000"/>
          <w:lang w:val="en-US"/>
        </w:rPr>
        <w:t>Kutakhov</w:t>
      </w:r>
      <w:proofErr w:type="spellEnd"/>
      <w:r w:rsidRPr="00F22827">
        <w:rPr>
          <w:rFonts w:ascii="Arial" w:hAnsi="Arial" w:cs="Arial"/>
          <w:b/>
          <w:bCs/>
          <w:color w:val="000000"/>
          <w:lang w:val="en-US"/>
        </w:rPr>
        <w:t xml:space="preserve"> Vladimir </w:t>
      </w:r>
      <w:proofErr w:type="spellStart"/>
      <w:r w:rsidRPr="00F22827">
        <w:rPr>
          <w:rFonts w:ascii="Arial" w:hAnsi="Arial" w:cs="Arial"/>
          <w:b/>
          <w:bCs/>
          <w:color w:val="000000"/>
          <w:lang w:val="en-US"/>
        </w:rPr>
        <w:t>Pavlovich</w:t>
      </w:r>
      <w:proofErr w:type="spellEnd"/>
      <w:r w:rsidRPr="00F22827">
        <w:rPr>
          <w:rFonts w:ascii="Arial" w:hAnsi="Arial" w:cs="Arial"/>
          <w:b/>
          <w:bCs/>
          <w:color w:val="000000"/>
          <w:lang w:val="en-US"/>
        </w:rPr>
        <w:t>,</w:t>
      </w:r>
    </w:p>
    <w:p w:rsidR="00F22827" w:rsidRPr="00F22827" w:rsidRDefault="00F22827" w:rsidP="00F22827">
      <w:pPr>
        <w:autoSpaceDE w:val="0"/>
        <w:autoSpaceDN w:val="0"/>
        <w:adjustRightInd w:val="0"/>
        <w:spacing w:after="113" w:line="288" w:lineRule="auto"/>
        <w:ind w:left="1701"/>
        <w:jc w:val="both"/>
        <w:textAlignment w:val="center"/>
        <w:rPr>
          <w:rFonts w:ascii="Arial" w:hAnsi="Arial" w:cs="Arial"/>
          <w:i/>
          <w:iCs/>
          <w:color w:val="000000"/>
          <w:lang w:val="en-US"/>
        </w:rPr>
      </w:pPr>
      <w:r w:rsidRPr="00F22827">
        <w:rPr>
          <w:rFonts w:ascii="Arial" w:hAnsi="Arial" w:cs="Arial"/>
          <w:i/>
          <w:iCs/>
          <w:color w:val="000000"/>
          <w:lang w:val="en-US"/>
        </w:rPr>
        <w:lastRenderedPageBreak/>
        <w:t xml:space="preserve">Director of the Design Complex “Robotic Aviation Systems”, NRC “Institute named after N.E. </w:t>
      </w:r>
      <w:proofErr w:type="spellStart"/>
      <w:r w:rsidRPr="00F22827">
        <w:rPr>
          <w:rFonts w:ascii="Arial" w:hAnsi="Arial" w:cs="Arial"/>
          <w:i/>
          <w:iCs/>
          <w:color w:val="000000"/>
          <w:lang w:val="en-US"/>
        </w:rPr>
        <w:t>Zhukovsky</w:t>
      </w:r>
      <w:proofErr w:type="spellEnd"/>
      <w:r w:rsidRPr="00F22827">
        <w:rPr>
          <w:rFonts w:ascii="Arial" w:hAnsi="Arial" w:cs="Arial"/>
          <w:i/>
          <w:iCs/>
          <w:color w:val="000000"/>
          <w:lang w:val="en-US"/>
        </w:rPr>
        <w:t>”</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z w:val="20"/>
          <w:szCs w:val="20"/>
          <w:lang w:val="en-US"/>
        </w:rPr>
        <w:t>The implementation of projects related to the production of science-intensive products requires operational monitoring in order to make management decisions in order to successfully implement them. To solve this problem, it is necessary to use economic and mathematical models for the operational analysis of multidimensional information received as a result of the implementation of projects and programs. Monitoring the implementation of projects implemented by high-tech enterprises is a necessary mechanism that allows you to receive an independent assessment of development trends, the dynamics of current and possible changes in projects in real time, quickly analyze the most important factors and risks that determine the state of project implementation at a certain stage.</w:t>
      </w:r>
    </w:p>
    <w:p w:rsidR="00F22827" w:rsidRPr="00F22827" w:rsidRDefault="00F22827" w:rsidP="00F2282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22827">
        <w:rPr>
          <w:rFonts w:ascii="Arial" w:hAnsi="Arial" w:cs="Arial"/>
          <w:color w:val="000000"/>
          <w:spacing w:val="43"/>
          <w:sz w:val="20"/>
          <w:szCs w:val="20"/>
          <w:lang w:val="en-US"/>
        </w:rPr>
        <w:t>Keywords</w:t>
      </w:r>
      <w:r w:rsidRPr="00F22827">
        <w:rPr>
          <w:rFonts w:ascii="Arial" w:hAnsi="Arial" w:cs="Arial"/>
          <w:color w:val="000000"/>
          <w:sz w:val="20"/>
          <w:szCs w:val="20"/>
          <w:lang w:val="en-US"/>
        </w:rPr>
        <w:t>: project evaluation; knowledge-intensive enterprise; economic risks; monitoring; efficiency.</w:t>
      </w:r>
    </w:p>
    <w:p w:rsidR="00F22827" w:rsidRDefault="00F22827" w:rsidP="00133532"/>
    <w:p w:rsidR="00A57324" w:rsidRPr="00A57324" w:rsidRDefault="00A57324" w:rsidP="00A57324">
      <w:pPr>
        <w:autoSpaceDE w:val="0"/>
        <w:autoSpaceDN w:val="0"/>
        <w:adjustRightInd w:val="0"/>
        <w:spacing w:after="227" w:line="288" w:lineRule="auto"/>
        <w:textAlignment w:val="center"/>
        <w:rPr>
          <w:rFonts w:ascii="Arial" w:hAnsi="Arial" w:cs="Arial"/>
          <w:color w:val="000000"/>
          <w:sz w:val="28"/>
          <w:szCs w:val="28"/>
        </w:rPr>
      </w:pPr>
      <w:r w:rsidRPr="00A57324">
        <w:rPr>
          <w:rFonts w:ascii="Arial" w:hAnsi="Arial" w:cs="Arial"/>
          <w:b/>
          <w:bCs/>
          <w:color w:val="000000"/>
          <w:sz w:val="28"/>
          <w:szCs w:val="28"/>
          <w:lang w:val="en-US"/>
        </w:rPr>
        <w:t>DOI</w:t>
      </w:r>
      <w:r w:rsidRPr="00A57324">
        <w:rPr>
          <w:rFonts w:ascii="Arial" w:hAnsi="Arial" w:cs="Arial"/>
          <w:b/>
          <w:bCs/>
          <w:color w:val="000000"/>
          <w:sz w:val="28"/>
          <w:szCs w:val="28"/>
        </w:rPr>
        <w:t xml:space="preserve"> 10.47576/</w:t>
      </w:r>
      <w:r w:rsidRPr="00A57324">
        <w:rPr>
          <w:rFonts w:ascii="Arial" w:hAnsi="Arial" w:cs="Arial"/>
          <w:color w:val="000000"/>
          <w:sz w:val="28"/>
          <w:szCs w:val="28"/>
        </w:rPr>
        <w:t xml:space="preserve">2712-7516_2021_1_3_48 </w:t>
      </w:r>
    </w:p>
    <w:p w:rsidR="00A57324" w:rsidRPr="00A57324" w:rsidRDefault="00A57324" w:rsidP="00A57324">
      <w:pPr>
        <w:autoSpaceDE w:val="0"/>
        <w:autoSpaceDN w:val="0"/>
        <w:adjustRightInd w:val="0"/>
        <w:spacing w:after="227" w:line="288" w:lineRule="auto"/>
        <w:textAlignment w:val="center"/>
        <w:rPr>
          <w:rFonts w:ascii="Arial" w:hAnsi="Arial" w:cs="Arial"/>
          <w:b/>
          <w:bCs/>
          <w:color w:val="000000"/>
          <w:sz w:val="28"/>
          <w:szCs w:val="28"/>
        </w:rPr>
      </w:pPr>
      <w:r w:rsidRPr="00A57324">
        <w:rPr>
          <w:rFonts w:ascii="Arial" w:hAnsi="Arial" w:cs="Arial"/>
          <w:b/>
          <w:bCs/>
          <w:color w:val="000000"/>
          <w:sz w:val="28"/>
          <w:szCs w:val="28"/>
        </w:rPr>
        <w:t xml:space="preserve">УДК 338 </w:t>
      </w:r>
    </w:p>
    <w:p w:rsidR="00A57324" w:rsidRPr="00A57324" w:rsidRDefault="00A57324" w:rsidP="00A57324">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A57324">
        <w:rPr>
          <w:rFonts w:ascii="Helios" w:hAnsi="Helios" w:cs="Helios"/>
          <w:b/>
          <w:bCs/>
          <w:caps/>
          <w:color w:val="000000"/>
          <w:sz w:val="30"/>
          <w:szCs w:val="30"/>
        </w:rPr>
        <w:t>Формирование эффективного туристского кластера в Южном Дагестане</w:t>
      </w:r>
    </w:p>
    <w:p w:rsidR="00A57324" w:rsidRPr="00A57324" w:rsidRDefault="00A57324" w:rsidP="00A57324">
      <w:pPr>
        <w:autoSpaceDE w:val="0"/>
        <w:autoSpaceDN w:val="0"/>
        <w:adjustRightInd w:val="0"/>
        <w:spacing w:after="0" w:line="288" w:lineRule="auto"/>
        <w:ind w:left="1701"/>
        <w:textAlignment w:val="center"/>
        <w:rPr>
          <w:rFonts w:ascii="Arial" w:hAnsi="Arial" w:cs="Arial"/>
          <w:b/>
          <w:bCs/>
          <w:color w:val="000000"/>
        </w:rPr>
      </w:pPr>
      <w:proofErr w:type="spellStart"/>
      <w:r w:rsidRPr="00A57324">
        <w:rPr>
          <w:rFonts w:ascii="Arial" w:hAnsi="Arial" w:cs="Arial"/>
          <w:b/>
          <w:bCs/>
          <w:color w:val="000000"/>
        </w:rPr>
        <w:t>Караханов</w:t>
      </w:r>
      <w:proofErr w:type="spellEnd"/>
      <w:r w:rsidRPr="00A57324">
        <w:rPr>
          <w:rFonts w:ascii="Arial" w:hAnsi="Arial" w:cs="Arial"/>
          <w:b/>
          <w:bCs/>
          <w:color w:val="000000"/>
        </w:rPr>
        <w:t xml:space="preserve"> </w:t>
      </w:r>
      <w:proofErr w:type="spellStart"/>
      <w:r w:rsidRPr="00A57324">
        <w:rPr>
          <w:rFonts w:ascii="Arial" w:hAnsi="Arial" w:cs="Arial"/>
          <w:b/>
          <w:bCs/>
          <w:color w:val="000000"/>
        </w:rPr>
        <w:t>Мурад</w:t>
      </w:r>
      <w:proofErr w:type="spellEnd"/>
      <w:r w:rsidRPr="00A57324">
        <w:rPr>
          <w:rFonts w:ascii="Arial" w:hAnsi="Arial" w:cs="Arial"/>
          <w:b/>
          <w:bCs/>
          <w:color w:val="000000"/>
        </w:rPr>
        <w:t xml:space="preserve"> </w:t>
      </w:r>
      <w:proofErr w:type="spellStart"/>
      <w:r w:rsidRPr="00A57324">
        <w:rPr>
          <w:rFonts w:ascii="Arial" w:hAnsi="Arial" w:cs="Arial"/>
          <w:b/>
          <w:bCs/>
          <w:color w:val="000000"/>
        </w:rPr>
        <w:t>Нуруллахович</w:t>
      </w:r>
      <w:proofErr w:type="spellEnd"/>
      <w:r w:rsidRPr="00A57324">
        <w:rPr>
          <w:rFonts w:ascii="Arial" w:hAnsi="Arial" w:cs="Arial"/>
          <w:b/>
          <w:bCs/>
          <w:color w:val="000000"/>
        </w:rPr>
        <w:t>,</w:t>
      </w:r>
    </w:p>
    <w:p w:rsidR="00A57324" w:rsidRPr="00A57324" w:rsidRDefault="00A57324" w:rsidP="00A57324">
      <w:pPr>
        <w:autoSpaceDE w:val="0"/>
        <w:autoSpaceDN w:val="0"/>
        <w:adjustRightInd w:val="0"/>
        <w:spacing w:after="113" w:line="288" w:lineRule="auto"/>
        <w:ind w:left="1701"/>
        <w:jc w:val="both"/>
        <w:textAlignment w:val="center"/>
        <w:rPr>
          <w:rFonts w:ascii="Arial" w:hAnsi="Arial" w:cs="Arial"/>
          <w:i/>
          <w:iCs/>
          <w:color w:val="000000"/>
        </w:rPr>
      </w:pPr>
      <w:r w:rsidRPr="00A57324">
        <w:rPr>
          <w:rFonts w:ascii="Arial" w:hAnsi="Arial" w:cs="Arial"/>
          <w:i/>
          <w:iCs/>
          <w:color w:val="000000"/>
        </w:rPr>
        <w:t xml:space="preserve">доктор экономических наук, профессор кафедры </w:t>
      </w:r>
      <w:proofErr w:type="spellStart"/>
      <w:r w:rsidRPr="00A57324">
        <w:rPr>
          <w:rFonts w:ascii="Arial" w:hAnsi="Arial" w:cs="Arial"/>
          <w:i/>
          <w:iCs/>
          <w:color w:val="000000"/>
        </w:rPr>
        <w:t>социогуманитарных</w:t>
      </w:r>
      <w:proofErr w:type="spellEnd"/>
      <w:r w:rsidRPr="00A57324">
        <w:rPr>
          <w:rFonts w:ascii="Arial" w:hAnsi="Arial" w:cs="Arial"/>
          <w:i/>
          <w:iCs/>
          <w:color w:val="000000"/>
        </w:rPr>
        <w:t xml:space="preserve"> дисциплин, Дагестанский государственный педагогический университет, </w:t>
      </w:r>
      <w:r w:rsidRPr="00A57324">
        <w:rPr>
          <w:rFonts w:ascii="Arial" w:hAnsi="Arial" w:cs="Arial"/>
          <w:i/>
          <w:iCs/>
          <w:color w:val="000000"/>
        </w:rPr>
        <w:br/>
        <w:t>г. Махачкала, Россия, e-</w:t>
      </w:r>
      <w:proofErr w:type="spellStart"/>
      <w:r w:rsidRPr="00A57324">
        <w:rPr>
          <w:rFonts w:ascii="Arial" w:hAnsi="Arial" w:cs="Arial"/>
          <w:i/>
          <w:iCs/>
          <w:color w:val="000000"/>
        </w:rPr>
        <w:t>mail</w:t>
      </w:r>
      <w:proofErr w:type="spellEnd"/>
      <w:r w:rsidRPr="00A57324">
        <w:rPr>
          <w:rFonts w:ascii="Arial" w:hAnsi="Arial" w:cs="Arial"/>
          <w:i/>
          <w:iCs/>
          <w:color w:val="000000"/>
        </w:rPr>
        <w:t>: gak0110@mail.ru</w:t>
      </w:r>
    </w:p>
    <w:p w:rsidR="00A57324" w:rsidRPr="00A57324" w:rsidRDefault="00A57324" w:rsidP="00A57324">
      <w:pPr>
        <w:autoSpaceDE w:val="0"/>
        <w:autoSpaceDN w:val="0"/>
        <w:adjustRightInd w:val="0"/>
        <w:spacing w:after="0" w:line="210" w:lineRule="atLeast"/>
        <w:ind w:firstLine="266"/>
        <w:jc w:val="both"/>
        <w:textAlignment w:val="center"/>
        <w:rPr>
          <w:rFonts w:ascii="Arial" w:hAnsi="Arial" w:cs="Arial"/>
          <w:color w:val="000000"/>
          <w:sz w:val="20"/>
          <w:szCs w:val="20"/>
        </w:rPr>
      </w:pPr>
      <w:r w:rsidRPr="00A57324">
        <w:rPr>
          <w:rFonts w:ascii="Arial" w:hAnsi="Arial" w:cs="Arial"/>
          <w:color w:val="000000"/>
          <w:sz w:val="20"/>
          <w:szCs w:val="20"/>
        </w:rPr>
        <w:t>В статье отмечена роль туристских кластеров как эффективной формы развития туризма. Показаны перспективы города Дербента как центра туризма России на Каспийском море при реализации Программы развития Дербента на период до 2025 года. Рассмотрены возможности развития туристского потенциала Южного Дагестана. Обосновано положение, что для увеличения потока туристов целесообразно в туристский кластер «Дербент» включить туристские ресурсы прилегающих территорий Южного Дагестана, а также обеспечить комплексный подход к планированию развития туристской, коммунальной и транспортной инфраструктуры туристских объектов, входящих в кластер.</w:t>
      </w:r>
    </w:p>
    <w:p w:rsidR="00A57324" w:rsidRPr="00A57324" w:rsidRDefault="00A57324" w:rsidP="00A57324">
      <w:pPr>
        <w:autoSpaceDE w:val="0"/>
        <w:autoSpaceDN w:val="0"/>
        <w:adjustRightInd w:val="0"/>
        <w:spacing w:after="0" w:line="210" w:lineRule="atLeast"/>
        <w:ind w:firstLine="266"/>
        <w:jc w:val="both"/>
        <w:textAlignment w:val="center"/>
        <w:rPr>
          <w:rFonts w:ascii="Arial" w:hAnsi="Arial" w:cs="Arial"/>
          <w:color w:val="000000"/>
          <w:sz w:val="20"/>
          <w:szCs w:val="20"/>
        </w:rPr>
      </w:pPr>
      <w:r w:rsidRPr="00A57324">
        <w:rPr>
          <w:rFonts w:ascii="Arial" w:hAnsi="Arial" w:cs="Arial"/>
          <w:color w:val="000000"/>
          <w:spacing w:val="43"/>
          <w:sz w:val="20"/>
          <w:szCs w:val="20"/>
        </w:rPr>
        <w:t>Ключевые слова:</w:t>
      </w:r>
      <w:r w:rsidRPr="00A57324">
        <w:rPr>
          <w:rFonts w:ascii="Arial" w:hAnsi="Arial" w:cs="Arial"/>
          <w:color w:val="000000"/>
          <w:sz w:val="20"/>
          <w:szCs w:val="20"/>
        </w:rPr>
        <w:t xml:space="preserve"> кластер; туристы; развитие Дербента; туристские ресурсы Южного Дагестана; налоговые льготы.</w:t>
      </w:r>
    </w:p>
    <w:p w:rsidR="00A57324" w:rsidRPr="00A57324" w:rsidRDefault="00A57324" w:rsidP="00A57324">
      <w:pPr>
        <w:autoSpaceDE w:val="0"/>
        <w:autoSpaceDN w:val="0"/>
        <w:adjustRightInd w:val="0"/>
        <w:spacing w:after="0" w:line="210" w:lineRule="atLeast"/>
        <w:ind w:firstLine="266"/>
        <w:jc w:val="both"/>
        <w:textAlignment w:val="center"/>
        <w:rPr>
          <w:rFonts w:ascii="Arial" w:hAnsi="Arial" w:cs="Arial"/>
          <w:color w:val="000000"/>
          <w:sz w:val="20"/>
          <w:szCs w:val="20"/>
        </w:rPr>
      </w:pPr>
    </w:p>
    <w:p w:rsidR="00A57324" w:rsidRPr="00A57324" w:rsidRDefault="00A57324" w:rsidP="00A57324">
      <w:pPr>
        <w:autoSpaceDE w:val="0"/>
        <w:autoSpaceDN w:val="0"/>
        <w:adjustRightInd w:val="0"/>
        <w:spacing w:after="227" w:line="288" w:lineRule="auto"/>
        <w:textAlignment w:val="center"/>
        <w:rPr>
          <w:rFonts w:ascii="Arial" w:hAnsi="Arial" w:cs="Arial"/>
          <w:b/>
          <w:bCs/>
          <w:color w:val="000000"/>
          <w:sz w:val="28"/>
          <w:szCs w:val="28"/>
          <w:lang w:val="en-US"/>
        </w:rPr>
      </w:pPr>
      <w:r w:rsidRPr="00A57324">
        <w:rPr>
          <w:rFonts w:ascii="Arial" w:hAnsi="Arial" w:cs="Arial"/>
          <w:b/>
          <w:bCs/>
          <w:color w:val="000000"/>
          <w:sz w:val="28"/>
          <w:szCs w:val="28"/>
          <w:lang w:val="en-US"/>
        </w:rPr>
        <w:t>UDC 338</w:t>
      </w:r>
    </w:p>
    <w:p w:rsidR="00A57324" w:rsidRPr="00A57324" w:rsidRDefault="00A57324" w:rsidP="00A57324">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A57324">
        <w:rPr>
          <w:rFonts w:ascii="Helios" w:hAnsi="Helios" w:cs="Helios"/>
          <w:b/>
          <w:bCs/>
          <w:caps/>
          <w:color w:val="000000"/>
          <w:sz w:val="30"/>
          <w:szCs w:val="30"/>
          <w:lang w:val="en-US"/>
        </w:rPr>
        <w:t>Formation of an effective tourist cluster in South Dagestan</w:t>
      </w:r>
    </w:p>
    <w:p w:rsidR="00A57324" w:rsidRPr="00A57324" w:rsidRDefault="00A57324" w:rsidP="00A57324">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A57324">
        <w:rPr>
          <w:rFonts w:ascii="Arial" w:hAnsi="Arial" w:cs="Arial"/>
          <w:b/>
          <w:bCs/>
          <w:color w:val="000000"/>
          <w:lang w:val="en-US"/>
        </w:rPr>
        <w:t>Karakhanov</w:t>
      </w:r>
      <w:proofErr w:type="spellEnd"/>
      <w:r w:rsidRPr="00A57324">
        <w:rPr>
          <w:rFonts w:ascii="Arial" w:hAnsi="Arial" w:cs="Arial"/>
          <w:b/>
          <w:bCs/>
          <w:color w:val="000000"/>
          <w:lang w:val="en-US"/>
        </w:rPr>
        <w:t xml:space="preserve"> </w:t>
      </w:r>
      <w:proofErr w:type="spellStart"/>
      <w:r w:rsidRPr="00A57324">
        <w:rPr>
          <w:rFonts w:ascii="Arial" w:hAnsi="Arial" w:cs="Arial"/>
          <w:b/>
          <w:bCs/>
          <w:color w:val="000000"/>
          <w:lang w:val="en-US"/>
        </w:rPr>
        <w:t>Murad</w:t>
      </w:r>
      <w:proofErr w:type="spellEnd"/>
      <w:r w:rsidRPr="00A57324">
        <w:rPr>
          <w:rFonts w:ascii="Arial" w:hAnsi="Arial" w:cs="Arial"/>
          <w:b/>
          <w:bCs/>
          <w:color w:val="000000"/>
          <w:lang w:val="en-US"/>
        </w:rPr>
        <w:t xml:space="preserve"> </w:t>
      </w:r>
      <w:proofErr w:type="spellStart"/>
      <w:r w:rsidRPr="00A57324">
        <w:rPr>
          <w:rFonts w:ascii="Arial" w:hAnsi="Arial" w:cs="Arial"/>
          <w:b/>
          <w:bCs/>
          <w:color w:val="000000"/>
          <w:lang w:val="en-US"/>
        </w:rPr>
        <w:t>Nurullahovich</w:t>
      </w:r>
      <w:proofErr w:type="spellEnd"/>
      <w:r w:rsidRPr="00A57324">
        <w:rPr>
          <w:rFonts w:ascii="Arial" w:hAnsi="Arial" w:cs="Arial"/>
          <w:b/>
          <w:bCs/>
          <w:color w:val="000000"/>
          <w:lang w:val="en-US"/>
        </w:rPr>
        <w:t>,</w:t>
      </w:r>
    </w:p>
    <w:p w:rsidR="00A57324" w:rsidRPr="00A57324" w:rsidRDefault="00A57324" w:rsidP="00A57324">
      <w:pPr>
        <w:autoSpaceDE w:val="0"/>
        <w:autoSpaceDN w:val="0"/>
        <w:adjustRightInd w:val="0"/>
        <w:spacing w:after="113" w:line="288" w:lineRule="auto"/>
        <w:ind w:left="1701"/>
        <w:jc w:val="both"/>
        <w:textAlignment w:val="center"/>
        <w:rPr>
          <w:rFonts w:ascii="Arial" w:hAnsi="Arial" w:cs="Arial"/>
          <w:i/>
          <w:iCs/>
          <w:color w:val="000000"/>
          <w:lang w:val="en-US"/>
        </w:rPr>
      </w:pPr>
      <w:r w:rsidRPr="00A57324">
        <w:rPr>
          <w:rFonts w:ascii="Arial" w:hAnsi="Arial" w:cs="Arial"/>
          <w:i/>
          <w:iCs/>
          <w:color w:val="000000"/>
          <w:lang w:val="en-US"/>
        </w:rPr>
        <w:t>Doctor of Economics, Professor of the Department of Social and Humanitarian Disciplines, Dagestan State Pedagogical University, Makhachkala, Russia, e-mail: gak0110@mail.ru</w:t>
      </w:r>
    </w:p>
    <w:p w:rsidR="00A57324" w:rsidRPr="00A57324" w:rsidRDefault="00A57324" w:rsidP="00A57324">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57324">
        <w:rPr>
          <w:rFonts w:ascii="Arial" w:hAnsi="Arial" w:cs="Arial"/>
          <w:color w:val="000000"/>
          <w:sz w:val="20"/>
          <w:szCs w:val="20"/>
          <w:lang w:val="en-US"/>
        </w:rPr>
        <w:t xml:space="preserve">The article notes the role of tourist clusters as an effective form of tourism development. The prospects of the city of </w:t>
      </w:r>
      <w:proofErr w:type="spellStart"/>
      <w:r w:rsidRPr="00A57324">
        <w:rPr>
          <w:rFonts w:ascii="Arial" w:hAnsi="Arial" w:cs="Arial"/>
          <w:color w:val="000000"/>
          <w:sz w:val="20"/>
          <w:szCs w:val="20"/>
          <w:lang w:val="en-US"/>
        </w:rPr>
        <w:t>Derbent</w:t>
      </w:r>
      <w:proofErr w:type="spellEnd"/>
      <w:r w:rsidRPr="00A57324">
        <w:rPr>
          <w:rFonts w:ascii="Arial" w:hAnsi="Arial" w:cs="Arial"/>
          <w:color w:val="000000"/>
          <w:sz w:val="20"/>
          <w:szCs w:val="20"/>
          <w:lang w:val="en-US"/>
        </w:rPr>
        <w:t xml:space="preserve"> as a Russian tourism center on the Caspian Sea in the implementation of the </w:t>
      </w:r>
      <w:proofErr w:type="spellStart"/>
      <w:r w:rsidRPr="00A57324">
        <w:rPr>
          <w:rFonts w:ascii="Arial" w:hAnsi="Arial" w:cs="Arial"/>
          <w:color w:val="000000"/>
          <w:sz w:val="20"/>
          <w:szCs w:val="20"/>
          <w:lang w:val="en-US"/>
        </w:rPr>
        <w:t>Derbent</w:t>
      </w:r>
      <w:proofErr w:type="spellEnd"/>
      <w:r w:rsidRPr="00A57324">
        <w:rPr>
          <w:rFonts w:ascii="Arial" w:hAnsi="Arial" w:cs="Arial"/>
          <w:color w:val="000000"/>
          <w:sz w:val="20"/>
          <w:szCs w:val="20"/>
          <w:lang w:val="en-US"/>
        </w:rPr>
        <w:t xml:space="preserve"> Development Program for the period up to 2025 are shown. The possibilities of developing the tourist potential of Southern Dagestan are considered. The position is substantiated that in order to increase the flow of tourists, it is advisable to include the tourist resources of the adjacent territories of Southern Dagestan in the </w:t>
      </w:r>
      <w:proofErr w:type="spellStart"/>
      <w:r w:rsidRPr="00A57324">
        <w:rPr>
          <w:rFonts w:ascii="Arial" w:hAnsi="Arial" w:cs="Arial"/>
          <w:color w:val="000000"/>
          <w:sz w:val="20"/>
          <w:szCs w:val="20"/>
          <w:lang w:val="en-US"/>
        </w:rPr>
        <w:t>Derbent</w:t>
      </w:r>
      <w:proofErr w:type="spellEnd"/>
      <w:r w:rsidRPr="00A57324">
        <w:rPr>
          <w:rFonts w:ascii="Arial" w:hAnsi="Arial" w:cs="Arial"/>
          <w:color w:val="000000"/>
          <w:sz w:val="20"/>
          <w:szCs w:val="20"/>
          <w:lang w:val="en-US"/>
        </w:rPr>
        <w:t xml:space="preserve"> tourist cluster, as well as to provide an integrated approach to planning the development of tourist, communal and transport infrastructure of tourist facilities included in the cluster.</w:t>
      </w:r>
    </w:p>
    <w:p w:rsidR="00A57324" w:rsidRPr="00A57324" w:rsidRDefault="00A57324" w:rsidP="00A57324">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57324">
        <w:rPr>
          <w:rFonts w:ascii="Arial" w:hAnsi="Arial" w:cs="Arial"/>
          <w:color w:val="000000"/>
          <w:spacing w:val="43"/>
          <w:sz w:val="20"/>
          <w:szCs w:val="20"/>
          <w:lang w:val="en-US"/>
        </w:rPr>
        <w:t>Keywords</w:t>
      </w:r>
      <w:r w:rsidRPr="00A57324">
        <w:rPr>
          <w:rFonts w:ascii="Arial" w:hAnsi="Arial" w:cs="Arial"/>
          <w:color w:val="000000"/>
          <w:sz w:val="20"/>
          <w:szCs w:val="20"/>
          <w:lang w:val="en-US"/>
        </w:rPr>
        <w:t xml:space="preserve">: cluster; tourists; development of </w:t>
      </w:r>
      <w:proofErr w:type="spellStart"/>
      <w:r w:rsidRPr="00A57324">
        <w:rPr>
          <w:rFonts w:ascii="Arial" w:hAnsi="Arial" w:cs="Arial"/>
          <w:color w:val="000000"/>
          <w:sz w:val="20"/>
          <w:szCs w:val="20"/>
          <w:lang w:val="en-US"/>
        </w:rPr>
        <w:t>Derbent</w:t>
      </w:r>
      <w:proofErr w:type="spellEnd"/>
      <w:r w:rsidRPr="00A57324">
        <w:rPr>
          <w:rFonts w:ascii="Arial" w:hAnsi="Arial" w:cs="Arial"/>
          <w:color w:val="000000"/>
          <w:sz w:val="20"/>
          <w:szCs w:val="20"/>
          <w:lang w:val="en-US"/>
        </w:rPr>
        <w:t>; tourist resources of Southern Dagestan; tax incentives.</w:t>
      </w:r>
    </w:p>
    <w:p w:rsidR="00A57324" w:rsidRDefault="00A57324"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rPr>
      </w:pPr>
      <w:r w:rsidRPr="005E7861">
        <w:rPr>
          <w:rFonts w:ascii="Arial" w:hAnsi="Arial" w:cs="Arial"/>
          <w:b/>
          <w:bCs/>
          <w:color w:val="000000"/>
          <w:sz w:val="28"/>
          <w:szCs w:val="28"/>
          <w:lang w:val="en-US"/>
        </w:rPr>
        <w:t>DOI</w:t>
      </w:r>
      <w:r w:rsidRPr="005E7861">
        <w:rPr>
          <w:rFonts w:ascii="Arial" w:hAnsi="Arial" w:cs="Arial"/>
          <w:b/>
          <w:bCs/>
          <w:color w:val="000000"/>
          <w:sz w:val="28"/>
          <w:szCs w:val="28"/>
        </w:rPr>
        <w:t xml:space="preserve"> 10.47576/</w:t>
      </w:r>
      <w:r w:rsidRPr="005E7861">
        <w:rPr>
          <w:rFonts w:ascii="Arial" w:hAnsi="Arial" w:cs="Arial"/>
          <w:color w:val="000000"/>
          <w:sz w:val="28"/>
          <w:szCs w:val="28"/>
        </w:rPr>
        <w:t xml:space="preserve">2712-7516_2021_1_3_52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lastRenderedPageBreak/>
        <w:t>УДК 336</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Пути развития системы комплаенс-контроля: управление комплаенс-рисками компании</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Иванченко Надежда </w:t>
      </w:r>
      <w:proofErr w:type="spellStart"/>
      <w:r w:rsidRPr="005E7861">
        <w:rPr>
          <w:rFonts w:ascii="Arial" w:hAnsi="Arial" w:cs="Arial"/>
          <w:b/>
          <w:bCs/>
          <w:color w:val="000000"/>
        </w:rPr>
        <w:t>Шавкатовна</w:t>
      </w:r>
      <w:proofErr w:type="spellEnd"/>
      <w:r w:rsidRPr="005E7861">
        <w:rPr>
          <w:rFonts w:ascii="Arial" w:hAnsi="Arial" w:cs="Arial"/>
          <w:b/>
          <w:bCs/>
          <w:color w:val="000000"/>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 xml:space="preserve">старший преподаватель кафедры </w:t>
      </w:r>
      <w:proofErr w:type="spellStart"/>
      <w:r w:rsidRPr="005E7861">
        <w:rPr>
          <w:rFonts w:ascii="Arial" w:hAnsi="Arial" w:cs="Arial"/>
          <w:i/>
          <w:iCs/>
          <w:color w:val="000000"/>
        </w:rPr>
        <w:t>комплаенса</w:t>
      </w:r>
      <w:proofErr w:type="spellEnd"/>
      <w:r w:rsidRPr="005E7861">
        <w:rPr>
          <w:rFonts w:ascii="Arial" w:hAnsi="Arial" w:cs="Arial"/>
          <w:i/>
          <w:iCs/>
          <w:color w:val="000000"/>
        </w:rPr>
        <w:t xml:space="preserve"> и </w:t>
      </w:r>
      <w:proofErr w:type="spellStart"/>
      <w:r w:rsidRPr="005E7861">
        <w:rPr>
          <w:rFonts w:ascii="Arial" w:hAnsi="Arial" w:cs="Arial"/>
          <w:i/>
          <w:iCs/>
          <w:color w:val="000000"/>
        </w:rPr>
        <w:t>контроллинга</w:t>
      </w:r>
      <w:proofErr w:type="spellEnd"/>
      <w:r w:rsidRPr="005E7861">
        <w:rPr>
          <w:rFonts w:ascii="Arial" w:hAnsi="Arial" w:cs="Arial"/>
          <w:i/>
          <w:iCs/>
          <w:color w:val="000000"/>
        </w:rPr>
        <w:t xml:space="preserve">, Высшая школа промышленной политики и предпринимательства, Российский университет дружбы народов, г. Москва, Россия, </w:t>
      </w:r>
      <w:proofErr w:type="gramStart"/>
      <w:r w:rsidRPr="005E7861">
        <w:rPr>
          <w:rFonts w:ascii="Arial" w:hAnsi="Arial" w:cs="Arial"/>
          <w:i/>
          <w:iCs/>
          <w:color w:val="000000"/>
        </w:rPr>
        <w:t>е</w:t>
      </w:r>
      <w:proofErr w:type="gramEnd"/>
      <w:r w:rsidRPr="005E7861">
        <w:rPr>
          <w:rFonts w:ascii="Arial" w:hAnsi="Arial" w:cs="Arial"/>
          <w:i/>
          <w:iCs/>
          <w:color w:val="000000"/>
        </w:rPr>
        <w:t>-</w:t>
      </w:r>
      <w:proofErr w:type="spellStart"/>
      <w:r w:rsidRPr="005E7861">
        <w:rPr>
          <w:rFonts w:ascii="Arial" w:hAnsi="Arial" w:cs="Arial"/>
          <w:i/>
          <w:iCs/>
          <w:color w:val="000000"/>
        </w:rPr>
        <w:t>mail</w:t>
      </w:r>
      <w:proofErr w:type="spellEnd"/>
      <w:r w:rsidRPr="005E7861">
        <w:rPr>
          <w:rFonts w:ascii="Arial" w:hAnsi="Arial" w:cs="Arial"/>
          <w:i/>
          <w:iCs/>
          <w:color w:val="000000"/>
        </w:rPr>
        <w:t>: 777-333-777@mail.ru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Хошимов</w:t>
      </w:r>
      <w:proofErr w:type="spellEnd"/>
      <w:r w:rsidRPr="005E7861">
        <w:rPr>
          <w:rFonts w:ascii="Arial" w:hAnsi="Arial" w:cs="Arial"/>
          <w:b/>
          <w:bCs/>
          <w:color w:val="000000"/>
        </w:rPr>
        <w:t xml:space="preserve"> </w:t>
      </w:r>
      <w:proofErr w:type="spellStart"/>
      <w:r w:rsidRPr="005E7861">
        <w:rPr>
          <w:rFonts w:ascii="Arial" w:hAnsi="Arial" w:cs="Arial"/>
          <w:b/>
          <w:bCs/>
          <w:color w:val="000000"/>
        </w:rPr>
        <w:t>Тохирджон</w:t>
      </w:r>
      <w:proofErr w:type="spellEnd"/>
      <w:r w:rsidRPr="005E7861">
        <w:rPr>
          <w:rFonts w:ascii="Arial" w:hAnsi="Arial" w:cs="Arial"/>
          <w:b/>
          <w:bCs/>
          <w:color w:val="000000"/>
        </w:rPr>
        <w:t xml:space="preserve"> </w:t>
      </w:r>
      <w:proofErr w:type="spellStart"/>
      <w:r w:rsidRPr="005E7861">
        <w:rPr>
          <w:rFonts w:ascii="Arial" w:hAnsi="Arial" w:cs="Arial"/>
          <w:b/>
          <w:bCs/>
          <w:color w:val="000000"/>
        </w:rPr>
        <w:t>Холович</w:t>
      </w:r>
      <w:proofErr w:type="spellEnd"/>
      <w:r w:rsidRPr="005E7861">
        <w:rPr>
          <w:rFonts w:ascii="Arial" w:hAnsi="Arial" w:cs="Arial"/>
          <w:b/>
          <w:bCs/>
          <w:color w:val="000000"/>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 xml:space="preserve">магистр 2 курса кафедры </w:t>
      </w:r>
      <w:proofErr w:type="spellStart"/>
      <w:r w:rsidRPr="005E7861">
        <w:rPr>
          <w:rFonts w:ascii="Arial" w:hAnsi="Arial" w:cs="Arial"/>
          <w:i/>
          <w:iCs/>
          <w:color w:val="000000"/>
        </w:rPr>
        <w:t>комплаенса</w:t>
      </w:r>
      <w:proofErr w:type="spellEnd"/>
      <w:r w:rsidRPr="005E7861">
        <w:rPr>
          <w:rFonts w:ascii="Arial" w:hAnsi="Arial" w:cs="Arial"/>
          <w:i/>
          <w:iCs/>
          <w:color w:val="000000"/>
        </w:rPr>
        <w:t xml:space="preserve"> и </w:t>
      </w:r>
      <w:proofErr w:type="spellStart"/>
      <w:r w:rsidRPr="005E7861">
        <w:rPr>
          <w:rFonts w:ascii="Arial" w:hAnsi="Arial" w:cs="Arial"/>
          <w:i/>
          <w:iCs/>
          <w:color w:val="000000"/>
        </w:rPr>
        <w:t>контроллинга</w:t>
      </w:r>
      <w:proofErr w:type="spellEnd"/>
      <w:r w:rsidRPr="005E7861">
        <w:rPr>
          <w:rFonts w:ascii="Arial" w:hAnsi="Arial" w:cs="Arial"/>
          <w:i/>
          <w:iCs/>
          <w:color w:val="000000"/>
        </w:rPr>
        <w:t xml:space="preserve">, Высшая школа промышленной политики и предпринимательства, Российский университет дружбы народов, г. Москва, Россия, </w:t>
      </w:r>
      <w:proofErr w:type="gramStart"/>
      <w:r w:rsidRPr="005E7861">
        <w:rPr>
          <w:rFonts w:ascii="Arial" w:hAnsi="Arial" w:cs="Arial"/>
          <w:i/>
          <w:iCs/>
          <w:color w:val="000000"/>
        </w:rPr>
        <w:t>е</w:t>
      </w:r>
      <w:proofErr w:type="gramEnd"/>
      <w:r w:rsidRPr="005E7861">
        <w:rPr>
          <w:rFonts w:ascii="Arial" w:hAnsi="Arial" w:cs="Arial"/>
          <w:i/>
          <w:iCs/>
          <w:color w:val="000000"/>
        </w:rPr>
        <w:t>-</w:t>
      </w:r>
      <w:proofErr w:type="spellStart"/>
      <w:r w:rsidRPr="005E7861">
        <w:rPr>
          <w:rFonts w:ascii="Arial" w:hAnsi="Arial" w:cs="Arial"/>
          <w:i/>
          <w:iCs/>
          <w:color w:val="000000"/>
        </w:rPr>
        <w:t>mail</w:t>
      </w:r>
      <w:proofErr w:type="spellEnd"/>
      <w:r w:rsidRPr="005E7861">
        <w:rPr>
          <w:rFonts w:ascii="Arial" w:hAnsi="Arial" w:cs="Arial"/>
          <w:i/>
          <w:iCs/>
          <w:color w:val="000000"/>
        </w:rPr>
        <w:t>: 1032207639@pfur.ru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Киселев Олег Михайлович,</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 xml:space="preserve">магистр 2 курса кафедры </w:t>
      </w:r>
      <w:proofErr w:type="spellStart"/>
      <w:r w:rsidRPr="005E7861">
        <w:rPr>
          <w:rFonts w:ascii="Arial" w:hAnsi="Arial" w:cs="Arial"/>
          <w:i/>
          <w:iCs/>
          <w:color w:val="000000"/>
        </w:rPr>
        <w:t>комплаенса</w:t>
      </w:r>
      <w:proofErr w:type="spellEnd"/>
      <w:r w:rsidRPr="005E7861">
        <w:rPr>
          <w:rFonts w:ascii="Arial" w:hAnsi="Arial" w:cs="Arial"/>
          <w:i/>
          <w:iCs/>
          <w:color w:val="000000"/>
        </w:rPr>
        <w:t xml:space="preserve"> и </w:t>
      </w:r>
      <w:proofErr w:type="spellStart"/>
      <w:r w:rsidRPr="005E7861">
        <w:rPr>
          <w:rFonts w:ascii="Arial" w:hAnsi="Arial" w:cs="Arial"/>
          <w:i/>
          <w:iCs/>
          <w:color w:val="000000"/>
        </w:rPr>
        <w:t>контроллинга</w:t>
      </w:r>
      <w:proofErr w:type="spellEnd"/>
      <w:r w:rsidRPr="005E7861">
        <w:rPr>
          <w:rFonts w:ascii="Arial" w:hAnsi="Arial" w:cs="Arial"/>
          <w:i/>
          <w:iCs/>
          <w:color w:val="000000"/>
        </w:rPr>
        <w:t xml:space="preserve">, Высшая школа промышленной политики и предпринимательства, Российский университет дружбы народов, г. Москва, Россия, </w:t>
      </w:r>
      <w:proofErr w:type="gramStart"/>
      <w:r w:rsidRPr="005E7861">
        <w:rPr>
          <w:rFonts w:ascii="Arial" w:hAnsi="Arial" w:cs="Arial"/>
          <w:i/>
          <w:iCs/>
          <w:color w:val="000000"/>
        </w:rPr>
        <w:t>е</w:t>
      </w:r>
      <w:proofErr w:type="gramEnd"/>
      <w:r w:rsidRPr="005E7861">
        <w:rPr>
          <w:rFonts w:ascii="Arial" w:hAnsi="Arial" w:cs="Arial"/>
          <w:i/>
          <w:iCs/>
          <w:color w:val="000000"/>
        </w:rPr>
        <w:t>-</w:t>
      </w:r>
      <w:proofErr w:type="spellStart"/>
      <w:r w:rsidRPr="005E7861">
        <w:rPr>
          <w:rFonts w:ascii="Arial" w:hAnsi="Arial" w:cs="Arial"/>
          <w:i/>
          <w:iCs/>
          <w:color w:val="000000"/>
        </w:rPr>
        <w:t>mail</w:t>
      </w:r>
      <w:proofErr w:type="spellEnd"/>
      <w:r w:rsidRPr="005E7861">
        <w:rPr>
          <w:rFonts w:ascii="Arial" w:hAnsi="Arial" w:cs="Arial"/>
          <w:i/>
          <w:iCs/>
          <w:color w:val="000000"/>
        </w:rPr>
        <w:t>: 1032206690@pfur.ru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Статья посвящена вопросам развития системы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-контроля. Сегодня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-контроль как корпоративная идеология выступает в качестве метода пропаганды, направленного на продвижение требований по соответствию внутренним нормативам предприятия и общепринятым социальным ценностям. Авторы предлагают рассмотреть вопрос управления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-рисками как одно из перспективных направлений развития </w:t>
      </w:r>
      <w:proofErr w:type="spellStart"/>
      <w:r w:rsidRPr="005E7861">
        <w:rPr>
          <w:rFonts w:ascii="Arial" w:hAnsi="Arial" w:cs="Arial"/>
          <w:color w:val="000000"/>
          <w:sz w:val="20"/>
          <w:szCs w:val="20"/>
        </w:rPr>
        <w:t>комплаенса</w:t>
      </w:r>
      <w:proofErr w:type="spellEnd"/>
      <w:r w:rsidRPr="005E7861">
        <w:rPr>
          <w:rFonts w:ascii="Arial" w:hAnsi="Arial" w:cs="Arial"/>
          <w:color w:val="000000"/>
          <w:sz w:val="20"/>
          <w:szCs w:val="20"/>
        </w:rPr>
        <w:t xml:space="preserve">.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xml:space="preserve">: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-контроль;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-риски; управление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-рисками; идентификация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 xml:space="preserve">-рисков; </w:t>
      </w:r>
      <w:proofErr w:type="spellStart"/>
      <w:r w:rsidRPr="005E7861">
        <w:rPr>
          <w:rFonts w:ascii="Arial" w:hAnsi="Arial" w:cs="Arial"/>
          <w:color w:val="000000"/>
          <w:sz w:val="20"/>
          <w:szCs w:val="20"/>
        </w:rPr>
        <w:t>комплаенс</w:t>
      </w:r>
      <w:proofErr w:type="spellEnd"/>
      <w:r w:rsidRPr="005E7861">
        <w:rPr>
          <w:rFonts w:ascii="Arial" w:hAnsi="Arial" w:cs="Arial"/>
          <w:color w:val="000000"/>
          <w:sz w:val="20"/>
          <w:szCs w:val="20"/>
        </w:rPr>
        <w:t>-система.</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336</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Ways to develop the compliance control system: company compliance risk management</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Ivanchenko</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Nadezhda</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Shavkatovna</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Senior Lecturer, Compliance and Controlling Department, Higher School of Industrial Policy and Entrepreneurship, Peoples’ Friendship University of Russia, Moscow, Russia, </w:t>
      </w:r>
      <w:r w:rsidRPr="005E7861">
        <w:rPr>
          <w:rFonts w:ascii="Arial" w:hAnsi="Arial" w:cs="Arial"/>
          <w:i/>
          <w:iCs/>
          <w:color w:val="000000"/>
        </w:rPr>
        <w:t>е</w:t>
      </w:r>
      <w:r w:rsidRPr="005E7861">
        <w:rPr>
          <w:rFonts w:ascii="Arial" w:hAnsi="Arial" w:cs="Arial"/>
          <w:i/>
          <w:iCs/>
          <w:color w:val="000000"/>
          <w:lang w:val="en-US"/>
        </w:rPr>
        <w:t>-mail: 777-333-777@mail.ru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Khoshimov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Tokhirjon</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Kholovich</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2nd year Master of Compliance and Controlling Department, Higher School of Industrial Policy and Entrepreneurship, Peoples’ Friendship University of Russia, Moscow, Russia, e-mail: 1032207639@pfur.ru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Kiselev</w:t>
      </w:r>
      <w:proofErr w:type="spellEnd"/>
      <w:r w:rsidRPr="005E7861">
        <w:rPr>
          <w:rFonts w:ascii="Arial" w:hAnsi="Arial" w:cs="Arial"/>
          <w:b/>
          <w:bCs/>
          <w:color w:val="000000"/>
          <w:lang w:val="en-US"/>
        </w:rPr>
        <w:t xml:space="preserve"> Oleg </w:t>
      </w:r>
      <w:proofErr w:type="spellStart"/>
      <w:r w:rsidRPr="005E7861">
        <w:rPr>
          <w:rFonts w:ascii="Arial" w:hAnsi="Arial" w:cs="Arial"/>
          <w:b/>
          <w:bCs/>
          <w:color w:val="000000"/>
          <w:lang w:val="en-US"/>
        </w:rPr>
        <w:t>Mikhailovich</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2nd year Master of Compliance and Controlling Department, Higher School of Industrial Policy and Entrepreneurship, Peoples’ Friendship University of Russia, Moscow, Russia, e-mail: 1032206690@pfur.ru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The article is devoted to the development of the compliance control system. Today, compliance control as a corporate ideology acts as a propaganda method aimed at promoting the requirements for compliance with the internal standards of the enterprise and generally accepted social values. The authors propose to consider the issue of compliance risk management as one of the promising areas for the development of compliance.</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compliance; compliance control; compliance risks; compliance risk management; identification of compliance risks; compliance system.</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rPr>
      </w:pPr>
      <w:r w:rsidRPr="005E7861">
        <w:rPr>
          <w:rFonts w:ascii="Arial" w:hAnsi="Arial" w:cs="Arial"/>
          <w:b/>
          <w:bCs/>
          <w:color w:val="000000"/>
          <w:sz w:val="28"/>
          <w:szCs w:val="28"/>
          <w:lang w:val="en-US"/>
        </w:rPr>
        <w:lastRenderedPageBreak/>
        <w:t>DOI</w:t>
      </w:r>
      <w:r w:rsidRPr="005E7861">
        <w:rPr>
          <w:rFonts w:ascii="Arial" w:hAnsi="Arial" w:cs="Arial"/>
          <w:b/>
          <w:bCs/>
          <w:color w:val="000000"/>
          <w:sz w:val="28"/>
          <w:szCs w:val="28"/>
        </w:rPr>
        <w:t xml:space="preserve"> 10.47576/</w:t>
      </w:r>
      <w:r w:rsidRPr="005E7861">
        <w:rPr>
          <w:rFonts w:ascii="Arial" w:hAnsi="Arial" w:cs="Arial"/>
          <w:color w:val="000000"/>
          <w:sz w:val="28"/>
          <w:szCs w:val="28"/>
        </w:rPr>
        <w:t xml:space="preserve">2712-7516_2021_1_3_60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t>УДК 332</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Диверсификация экономики монопрофильных поселений как фактор их устойчивого развития</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Шваков</w:t>
      </w:r>
      <w:proofErr w:type="spellEnd"/>
      <w:r w:rsidRPr="005E7861">
        <w:rPr>
          <w:rFonts w:ascii="Arial" w:hAnsi="Arial" w:cs="Arial"/>
          <w:b/>
          <w:bCs/>
          <w:color w:val="000000"/>
        </w:rPr>
        <w:t xml:space="preserve"> Евгений Евгеньевич,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 xml:space="preserve">доктор экономических наук, профессор, Алтайский государственный университет, г. Барнаул, Россия, </w:t>
      </w:r>
      <w:proofErr w:type="gramStart"/>
      <w:r w:rsidRPr="005E7861">
        <w:rPr>
          <w:rFonts w:ascii="Arial" w:hAnsi="Arial" w:cs="Arial"/>
          <w:i/>
          <w:iCs/>
          <w:color w:val="000000"/>
        </w:rPr>
        <w:t>е</w:t>
      </w:r>
      <w:proofErr w:type="gramEnd"/>
      <w:r w:rsidRPr="005E7861">
        <w:rPr>
          <w:rFonts w:ascii="Arial" w:hAnsi="Arial" w:cs="Arial"/>
          <w:i/>
          <w:iCs/>
          <w:color w:val="000000"/>
        </w:rPr>
        <w:t>-</w:t>
      </w:r>
      <w:proofErr w:type="spellStart"/>
      <w:r w:rsidRPr="005E7861">
        <w:rPr>
          <w:rFonts w:ascii="Arial" w:hAnsi="Arial" w:cs="Arial"/>
          <w:i/>
          <w:iCs/>
          <w:color w:val="000000"/>
        </w:rPr>
        <w:t>mail</w:t>
      </w:r>
      <w:proofErr w:type="spellEnd"/>
      <w:r w:rsidRPr="005E7861">
        <w:rPr>
          <w:rFonts w:ascii="Arial" w:hAnsi="Arial" w:cs="Arial"/>
          <w:i/>
          <w:iCs/>
          <w:color w:val="000000"/>
        </w:rPr>
        <w:t>: eshvakov@yandex.ru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Мищенко Виталий Викторович,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доктор экономических наук, профессор, Алтайский государственный университет, г. Барнаул, Россия</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Осадчая Ольга Петровна,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доктор экономических наук, профессор, Алтайский государственный университет, г. Барнаул, Россия</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В статье сформированы предложения по развитию моногородов Алтайского края и диверсификации их экономики. Анализ современного состояния моногородов региона и функционирования их градообразующих предприятий показал: 1) возможности занятости населения в промышленном производстве моногородов; 2) необходимость </w:t>
      </w:r>
      <w:proofErr w:type="gramStart"/>
      <w:r w:rsidRPr="005E7861">
        <w:rPr>
          <w:rFonts w:ascii="Arial" w:hAnsi="Arial" w:cs="Arial"/>
          <w:color w:val="000000"/>
          <w:sz w:val="20"/>
          <w:szCs w:val="20"/>
        </w:rPr>
        <w:t>развития альтернативных направлений занятости населения моногородов</w:t>
      </w:r>
      <w:proofErr w:type="gramEnd"/>
      <w:r w:rsidRPr="005E7861">
        <w:rPr>
          <w:rFonts w:ascii="Arial" w:hAnsi="Arial" w:cs="Arial"/>
          <w:color w:val="000000"/>
          <w:sz w:val="20"/>
          <w:szCs w:val="20"/>
        </w:rPr>
        <w:t xml:space="preserve">. Для развития экономики таких городов требуются неординарные меры. В целях диверсификации экономики </w:t>
      </w:r>
      <w:proofErr w:type="spellStart"/>
      <w:r w:rsidRPr="005E7861">
        <w:rPr>
          <w:rFonts w:ascii="Arial" w:hAnsi="Arial" w:cs="Arial"/>
          <w:color w:val="000000"/>
          <w:sz w:val="20"/>
          <w:szCs w:val="20"/>
        </w:rPr>
        <w:t>монопрофильных</w:t>
      </w:r>
      <w:proofErr w:type="spellEnd"/>
      <w:r w:rsidRPr="005E7861">
        <w:rPr>
          <w:rFonts w:ascii="Arial" w:hAnsi="Arial" w:cs="Arial"/>
          <w:color w:val="000000"/>
          <w:sz w:val="20"/>
          <w:szCs w:val="20"/>
        </w:rPr>
        <w:t xml:space="preserve"> поселений следует стимулировать занятость населения в сельскохозяйственном производстве.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xml:space="preserve">: моногород; диверсификация экономики </w:t>
      </w:r>
      <w:proofErr w:type="spellStart"/>
      <w:r w:rsidRPr="005E7861">
        <w:rPr>
          <w:rFonts w:ascii="Arial" w:hAnsi="Arial" w:cs="Arial"/>
          <w:color w:val="000000"/>
          <w:sz w:val="20"/>
          <w:szCs w:val="20"/>
        </w:rPr>
        <w:t>монопрофильных</w:t>
      </w:r>
      <w:proofErr w:type="spellEnd"/>
      <w:r w:rsidRPr="005E7861">
        <w:rPr>
          <w:rFonts w:ascii="Arial" w:hAnsi="Arial" w:cs="Arial"/>
          <w:color w:val="000000"/>
          <w:sz w:val="20"/>
          <w:szCs w:val="20"/>
        </w:rPr>
        <w:t xml:space="preserve"> поселений; занятость в сельскохозяйственном производстве.</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332</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Diversification of the economy of single-industry settlements as a factor of their sustainable development</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Shvakov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Evgeny</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Evgenjevich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Doctor of Economics, Professor, Altai State University, </w:t>
      </w:r>
      <w:r w:rsidRPr="005E7861">
        <w:rPr>
          <w:rFonts w:ascii="Arial" w:hAnsi="Arial" w:cs="Arial"/>
          <w:i/>
          <w:iCs/>
          <w:color w:val="000000"/>
        </w:rPr>
        <w:t>е</w:t>
      </w:r>
      <w:r w:rsidRPr="005E7861">
        <w:rPr>
          <w:rFonts w:ascii="Arial" w:hAnsi="Arial" w:cs="Arial"/>
          <w:i/>
          <w:iCs/>
          <w:color w:val="000000"/>
          <w:lang w:val="en-US"/>
        </w:rPr>
        <w:t>-mail: eshvakov@yandex.ru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Mishchenko</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Vitaly</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Viktorovich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Doctor of Economics, Professor, Altai State University</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Osadchaya</w:t>
      </w:r>
      <w:proofErr w:type="spellEnd"/>
      <w:r w:rsidRPr="005E7861">
        <w:rPr>
          <w:rFonts w:ascii="Arial" w:hAnsi="Arial" w:cs="Arial"/>
          <w:b/>
          <w:bCs/>
          <w:color w:val="000000"/>
          <w:lang w:val="en-US"/>
        </w:rPr>
        <w:t xml:space="preserve"> Olga </w:t>
      </w:r>
      <w:proofErr w:type="spellStart"/>
      <w:r w:rsidRPr="005E7861">
        <w:rPr>
          <w:rFonts w:ascii="Arial" w:hAnsi="Arial" w:cs="Arial"/>
          <w:b/>
          <w:bCs/>
          <w:color w:val="000000"/>
          <w:lang w:val="en-US"/>
        </w:rPr>
        <w:t>Petrovna</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Doctor of Economics, Professor, Altai State University</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The article contains proposals for the development of single-industry towns of the Altai Territory and the diversification of their economy. The analysis of the current state of single-industry towns in the region and the functioning of their city-forming enterprises showed: 1) employment opportunities of the population in the industrial production of single-industry towns; 2) the need to develop alternative areas of employment of the population of single-industry towns. Extraordinary measures are required to develop the economy of such cities. In order to diversify the economy of single-industry settlements, employment of the population in agricultural production should be stimulated.</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single-industry town, diversification of the economy of single-industry settlements, employment in agricultural production</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rPr>
      </w:pPr>
      <w:r w:rsidRPr="005E7861">
        <w:rPr>
          <w:rFonts w:ascii="Arial" w:hAnsi="Arial" w:cs="Arial"/>
          <w:b/>
          <w:bCs/>
          <w:color w:val="000000"/>
          <w:sz w:val="28"/>
          <w:szCs w:val="28"/>
          <w:lang w:val="en-US"/>
        </w:rPr>
        <w:t>DOI</w:t>
      </w:r>
      <w:r w:rsidRPr="005E7861">
        <w:rPr>
          <w:rFonts w:ascii="Arial" w:hAnsi="Arial" w:cs="Arial"/>
          <w:b/>
          <w:bCs/>
          <w:color w:val="000000"/>
          <w:sz w:val="28"/>
          <w:szCs w:val="28"/>
        </w:rPr>
        <w:t xml:space="preserve"> 10.47576/</w:t>
      </w:r>
      <w:r w:rsidRPr="005E7861">
        <w:rPr>
          <w:rFonts w:ascii="Arial" w:hAnsi="Arial" w:cs="Arial"/>
          <w:color w:val="000000"/>
          <w:sz w:val="28"/>
          <w:szCs w:val="28"/>
        </w:rPr>
        <w:t xml:space="preserve">2712-7516_2021_1_3_68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lastRenderedPageBreak/>
        <w:t>УДК 657</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Методические аспекты оценки эффективности использования внеоборотных активов организации</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Сулейманова Динара </w:t>
      </w:r>
      <w:proofErr w:type="spellStart"/>
      <w:r w:rsidRPr="005E7861">
        <w:rPr>
          <w:rFonts w:ascii="Arial" w:hAnsi="Arial" w:cs="Arial"/>
          <w:b/>
          <w:bCs/>
          <w:color w:val="000000"/>
        </w:rPr>
        <w:t>Абдулбасировна</w:t>
      </w:r>
      <w:proofErr w:type="spellEnd"/>
      <w:r w:rsidRPr="005E7861">
        <w:rPr>
          <w:rFonts w:ascii="Arial" w:hAnsi="Arial" w:cs="Arial"/>
          <w:b/>
          <w:bCs/>
          <w:color w:val="000000"/>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кандидат экономических наук, доцент, доцент кафедры экономической безопасности, анализа и аудита, Дагестанский государственный университет, г. Махачкала,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sdinara61@mail.ru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Султанов Гарун </w:t>
      </w:r>
      <w:proofErr w:type="spellStart"/>
      <w:r w:rsidRPr="005E7861">
        <w:rPr>
          <w:rFonts w:ascii="Arial" w:hAnsi="Arial" w:cs="Arial"/>
          <w:b/>
          <w:bCs/>
          <w:color w:val="000000"/>
        </w:rPr>
        <w:t>Султанахмедович</w:t>
      </w:r>
      <w:proofErr w:type="spellEnd"/>
      <w:r w:rsidRPr="005E7861">
        <w:rPr>
          <w:rFonts w:ascii="Arial" w:hAnsi="Arial" w:cs="Arial"/>
          <w:b/>
          <w:bCs/>
          <w:color w:val="000000"/>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кандидат экономических наук, доцент, доцент кафедры экономической безопасности, анализа и аудита, Дагестанский государственный университет, г. Махачкала,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sirius2001@mail.ru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Мусаев Саид-Магомед </w:t>
      </w:r>
      <w:proofErr w:type="spellStart"/>
      <w:r w:rsidRPr="005E7861">
        <w:rPr>
          <w:rFonts w:ascii="Arial" w:hAnsi="Arial" w:cs="Arial"/>
          <w:b/>
          <w:bCs/>
          <w:color w:val="000000"/>
        </w:rPr>
        <w:t>Исламович</w:t>
      </w:r>
      <w:proofErr w:type="spellEnd"/>
      <w:r w:rsidRPr="005E7861">
        <w:rPr>
          <w:rFonts w:ascii="Arial" w:hAnsi="Arial" w:cs="Arial"/>
          <w:b/>
          <w:bCs/>
          <w:color w:val="000000"/>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ассистент кафедры уголовного права, криминологии и национальной безопасности, Чеченский государственный университет имени А.А. Кадырова, г. Грозный,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xml:space="preserve">: saidmusaev999@mail.ru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В статье проведен анализ движения </w:t>
      </w:r>
      <w:proofErr w:type="spellStart"/>
      <w:r w:rsidRPr="005E7861">
        <w:rPr>
          <w:rFonts w:ascii="Arial" w:hAnsi="Arial" w:cs="Arial"/>
          <w:color w:val="000000"/>
          <w:sz w:val="20"/>
          <w:szCs w:val="20"/>
        </w:rPr>
        <w:t>внеоборотных</w:t>
      </w:r>
      <w:proofErr w:type="spellEnd"/>
      <w:r w:rsidRPr="005E7861">
        <w:rPr>
          <w:rFonts w:ascii="Arial" w:hAnsi="Arial" w:cs="Arial"/>
          <w:color w:val="000000"/>
          <w:sz w:val="20"/>
          <w:szCs w:val="20"/>
        </w:rPr>
        <w:t xml:space="preserve"> активов и выявлены пути повышения их использования АО «Завод им. Гаджиева». В основном </w:t>
      </w:r>
      <w:proofErr w:type="spellStart"/>
      <w:r w:rsidRPr="005E7861">
        <w:rPr>
          <w:rFonts w:ascii="Arial" w:hAnsi="Arial" w:cs="Arial"/>
          <w:color w:val="000000"/>
          <w:sz w:val="20"/>
          <w:szCs w:val="20"/>
        </w:rPr>
        <w:t>внеоборотные</w:t>
      </w:r>
      <w:proofErr w:type="spellEnd"/>
      <w:r w:rsidRPr="005E7861">
        <w:rPr>
          <w:rFonts w:ascii="Arial" w:hAnsi="Arial" w:cs="Arial"/>
          <w:color w:val="000000"/>
          <w:sz w:val="20"/>
          <w:szCs w:val="20"/>
        </w:rPr>
        <w:t xml:space="preserve"> активы организации представлены основными средствами. Были рассчитаны такие показатели, как </w:t>
      </w:r>
      <w:proofErr w:type="spellStart"/>
      <w:r w:rsidRPr="005E7861">
        <w:rPr>
          <w:rFonts w:ascii="Arial" w:hAnsi="Arial" w:cs="Arial"/>
          <w:color w:val="000000"/>
          <w:sz w:val="20"/>
          <w:szCs w:val="20"/>
        </w:rPr>
        <w:t>фондорентабельность</w:t>
      </w:r>
      <w:proofErr w:type="spellEnd"/>
      <w:r w:rsidRPr="005E7861">
        <w:rPr>
          <w:rFonts w:ascii="Arial" w:hAnsi="Arial" w:cs="Arial"/>
          <w:color w:val="000000"/>
          <w:sz w:val="20"/>
          <w:szCs w:val="20"/>
        </w:rPr>
        <w:t xml:space="preserve">, фондоотдача и </w:t>
      </w:r>
      <w:proofErr w:type="spellStart"/>
      <w:r w:rsidRPr="005E7861">
        <w:rPr>
          <w:rFonts w:ascii="Arial" w:hAnsi="Arial" w:cs="Arial"/>
          <w:color w:val="000000"/>
          <w:sz w:val="20"/>
          <w:szCs w:val="20"/>
        </w:rPr>
        <w:t>фондоемкость</w:t>
      </w:r>
      <w:proofErr w:type="spellEnd"/>
      <w:r w:rsidRPr="005E7861">
        <w:rPr>
          <w:rFonts w:ascii="Arial" w:hAnsi="Arial" w:cs="Arial"/>
          <w:color w:val="000000"/>
          <w:sz w:val="20"/>
          <w:szCs w:val="20"/>
        </w:rPr>
        <w:t xml:space="preserve">. Их анализ показал, что все относительные показатели эффективности использования основных средств имеют отрицательную тенденцию, причиной этого является уменьшение выручки и прибыли от продаж в отчетном периоде. Авторами предложены меры по улучшению использования основных средств.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xml:space="preserve">: </w:t>
      </w:r>
      <w:proofErr w:type="spellStart"/>
      <w:r w:rsidRPr="005E7861">
        <w:rPr>
          <w:rFonts w:ascii="Arial" w:hAnsi="Arial" w:cs="Arial"/>
          <w:color w:val="000000"/>
          <w:sz w:val="20"/>
          <w:szCs w:val="20"/>
        </w:rPr>
        <w:t>внеоборотные</w:t>
      </w:r>
      <w:proofErr w:type="spellEnd"/>
      <w:r w:rsidRPr="005E7861">
        <w:rPr>
          <w:rFonts w:ascii="Arial" w:hAnsi="Arial" w:cs="Arial"/>
          <w:color w:val="000000"/>
          <w:sz w:val="20"/>
          <w:szCs w:val="20"/>
        </w:rPr>
        <w:t xml:space="preserve"> активы; </w:t>
      </w:r>
      <w:proofErr w:type="spellStart"/>
      <w:r w:rsidRPr="005E7861">
        <w:rPr>
          <w:rFonts w:ascii="Arial" w:hAnsi="Arial" w:cs="Arial"/>
          <w:color w:val="000000"/>
          <w:sz w:val="20"/>
          <w:szCs w:val="20"/>
        </w:rPr>
        <w:t>фондорентабельность</w:t>
      </w:r>
      <w:proofErr w:type="spellEnd"/>
      <w:r w:rsidRPr="005E7861">
        <w:rPr>
          <w:rFonts w:ascii="Arial" w:hAnsi="Arial" w:cs="Arial"/>
          <w:color w:val="000000"/>
          <w:sz w:val="20"/>
          <w:szCs w:val="20"/>
        </w:rPr>
        <w:t xml:space="preserve">; фондоотдача; </w:t>
      </w:r>
      <w:proofErr w:type="spellStart"/>
      <w:r w:rsidRPr="005E7861">
        <w:rPr>
          <w:rFonts w:ascii="Arial" w:hAnsi="Arial" w:cs="Arial"/>
          <w:color w:val="000000"/>
          <w:sz w:val="20"/>
          <w:szCs w:val="20"/>
        </w:rPr>
        <w:t>фондоемкость</w:t>
      </w:r>
      <w:proofErr w:type="spellEnd"/>
      <w:r w:rsidRPr="005E7861">
        <w:rPr>
          <w:rFonts w:ascii="Arial" w:hAnsi="Arial" w:cs="Arial"/>
          <w:color w:val="000000"/>
          <w:sz w:val="20"/>
          <w:szCs w:val="20"/>
        </w:rPr>
        <w:t>; инвентаризация активов.</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657</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Methodological aspects of performance evaluation use of non-current assets of the organization</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Suleymanova</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Dinara</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Abdulbasirovna</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Candidate of Economic Sciences, Associate Professor, Associate Professor of the Department of Economic Security, Analysis and Audit, Dagestan State University, Makhachkala, Russia, e-mail: sdinara61@mail.ru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Sultanov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Garun</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Sultanahmedovich</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Candidate of Economic Sciences, Associate Professor, Associate Professor of the Department of Economic Security, Analysis and Audit, Dagestan State University, Makhachkala, Russia, e-mail: sirius2001@mail.ru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Musaev</w:t>
      </w:r>
      <w:proofErr w:type="spellEnd"/>
      <w:r w:rsidRPr="005E7861">
        <w:rPr>
          <w:rFonts w:ascii="Arial" w:hAnsi="Arial" w:cs="Arial"/>
          <w:b/>
          <w:bCs/>
          <w:color w:val="000000"/>
          <w:lang w:val="en-US"/>
        </w:rPr>
        <w:t xml:space="preserve"> Said-</w:t>
      </w:r>
      <w:proofErr w:type="spellStart"/>
      <w:r w:rsidRPr="005E7861">
        <w:rPr>
          <w:rFonts w:ascii="Arial" w:hAnsi="Arial" w:cs="Arial"/>
          <w:b/>
          <w:bCs/>
          <w:color w:val="000000"/>
          <w:lang w:val="en-US"/>
        </w:rPr>
        <w:t>Magomed</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Islamovich</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5E7861">
        <w:rPr>
          <w:rFonts w:ascii="Arial" w:hAnsi="Arial" w:cs="Arial"/>
          <w:i/>
          <w:iCs/>
          <w:color w:val="000000"/>
          <w:lang w:val="en-US"/>
        </w:rPr>
        <w:t>assistant</w:t>
      </w:r>
      <w:proofErr w:type="gramEnd"/>
      <w:r w:rsidRPr="005E7861">
        <w:rPr>
          <w:rFonts w:ascii="Arial" w:hAnsi="Arial" w:cs="Arial"/>
          <w:i/>
          <w:iCs/>
          <w:color w:val="000000"/>
          <w:lang w:val="en-US"/>
        </w:rPr>
        <w:t xml:space="preserve"> of the department of Criminal Law, Criminology and National Security, Chechen State University named after A.A. </w:t>
      </w:r>
      <w:proofErr w:type="spellStart"/>
      <w:r w:rsidRPr="005E7861">
        <w:rPr>
          <w:rFonts w:ascii="Arial" w:hAnsi="Arial" w:cs="Arial"/>
          <w:i/>
          <w:iCs/>
          <w:color w:val="000000"/>
          <w:lang w:val="en-US"/>
        </w:rPr>
        <w:t>Kadyrov</w:t>
      </w:r>
      <w:proofErr w:type="spellEnd"/>
      <w:r w:rsidRPr="005E7861">
        <w:rPr>
          <w:rFonts w:ascii="Arial" w:hAnsi="Arial" w:cs="Arial"/>
          <w:i/>
          <w:iCs/>
          <w:color w:val="000000"/>
          <w:lang w:val="en-US"/>
        </w:rPr>
        <w:t>, Grozny, Russia, e-mail: saidmusaev999@mail.ru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 xml:space="preserve">The article analyzes the movement of non-current assets and identifies ways to increase their use by JSC «Plant Named after </w:t>
      </w:r>
      <w:proofErr w:type="spellStart"/>
      <w:r w:rsidRPr="005E7861">
        <w:rPr>
          <w:rFonts w:ascii="Arial" w:hAnsi="Arial" w:cs="Arial"/>
          <w:color w:val="000000"/>
          <w:sz w:val="20"/>
          <w:szCs w:val="20"/>
          <w:lang w:val="en-US"/>
        </w:rPr>
        <w:t>Gadzhiev</w:t>
      </w:r>
      <w:proofErr w:type="spellEnd"/>
      <w:r w:rsidRPr="005E7861">
        <w:rPr>
          <w:rFonts w:ascii="Arial" w:hAnsi="Arial" w:cs="Arial"/>
          <w:color w:val="000000"/>
          <w:sz w:val="20"/>
          <w:szCs w:val="20"/>
          <w:lang w:val="en-US"/>
        </w:rPr>
        <w:t xml:space="preserve">». Mainly non-current assets of the organization are represented by fixed assets. Indicators such as capital return, capital productivity and capital intensity were calculated. Their analysis showed that all relative indicators of the efficiency of the use of fixed assets have a negative </w:t>
      </w:r>
      <w:proofErr w:type="gramStart"/>
      <w:r w:rsidRPr="005E7861">
        <w:rPr>
          <w:rFonts w:ascii="Arial" w:hAnsi="Arial" w:cs="Arial"/>
          <w:color w:val="000000"/>
          <w:sz w:val="20"/>
          <w:szCs w:val="20"/>
          <w:lang w:val="en-US"/>
        </w:rPr>
        <w:t>trend,</w:t>
      </w:r>
      <w:proofErr w:type="gramEnd"/>
      <w:r w:rsidRPr="005E7861">
        <w:rPr>
          <w:rFonts w:ascii="Arial" w:hAnsi="Arial" w:cs="Arial"/>
          <w:color w:val="000000"/>
          <w:sz w:val="20"/>
          <w:szCs w:val="20"/>
          <w:lang w:val="en-US"/>
        </w:rPr>
        <w:t xml:space="preserve"> the reason for this is a decrease in revenue and profit from sales in the reporting period. The authors propose measures to improve the use of fixed assets.</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non-current assets; return on equity; capital productivity; capital intensity; asset inventory.</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rPr>
      </w:pPr>
      <w:r w:rsidRPr="005E7861">
        <w:rPr>
          <w:rFonts w:ascii="Arial" w:hAnsi="Arial" w:cs="Arial"/>
          <w:b/>
          <w:bCs/>
          <w:color w:val="000000"/>
          <w:sz w:val="28"/>
          <w:szCs w:val="28"/>
          <w:lang w:val="en-US"/>
        </w:rPr>
        <w:t>DOI</w:t>
      </w:r>
      <w:r w:rsidRPr="005E7861">
        <w:rPr>
          <w:rFonts w:ascii="Arial" w:hAnsi="Arial" w:cs="Arial"/>
          <w:b/>
          <w:bCs/>
          <w:color w:val="000000"/>
          <w:sz w:val="28"/>
          <w:szCs w:val="28"/>
        </w:rPr>
        <w:t xml:space="preserve"> 10.47576/</w:t>
      </w:r>
      <w:r w:rsidRPr="005E7861">
        <w:rPr>
          <w:rFonts w:ascii="Arial" w:hAnsi="Arial" w:cs="Arial"/>
          <w:color w:val="000000"/>
          <w:sz w:val="28"/>
          <w:szCs w:val="28"/>
        </w:rPr>
        <w:t xml:space="preserve">2712-7516_2021_1_3_73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t>УДК 338.48</w:t>
      </w:r>
    </w:p>
    <w:p w:rsidR="005E7861" w:rsidRPr="005E7861" w:rsidRDefault="005E7861" w:rsidP="005E7861">
      <w:pPr>
        <w:suppressAutoHyphens/>
        <w:autoSpaceDE w:val="0"/>
        <w:autoSpaceDN w:val="0"/>
        <w:adjustRightInd w:val="0"/>
        <w:spacing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 xml:space="preserve">Анализ организационных </w:t>
      </w:r>
      <w:r w:rsidRPr="005E7861">
        <w:rPr>
          <w:rFonts w:ascii="Helios" w:hAnsi="Helios" w:cs="Helios"/>
          <w:b/>
          <w:bCs/>
          <w:caps/>
          <w:color w:val="000000"/>
          <w:sz w:val="30"/>
          <w:szCs w:val="30"/>
        </w:rPr>
        <w:br/>
        <w:t xml:space="preserve">и правовых условий цифровой трансформации сферы туризма на региональном уровне </w:t>
      </w:r>
      <w:r w:rsidRPr="005E7861">
        <w:rPr>
          <w:rFonts w:ascii="Helios" w:hAnsi="Helios" w:cs="Helios"/>
          <w:b/>
          <w:bCs/>
          <w:caps/>
          <w:color w:val="000000"/>
          <w:sz w:val="30"/>
          <w:szCs w:val="30"/>
        </w:rPr>
        <w:br/>
        <w:t>(на примере Республики Алтай)</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Куттубаева</w:t>
      </w:r>
      <w:proofErr w:type="spellEnd"/>
      <w:r w:rsidRPr="005E7861">
        <w:rPr>
          <w:rFonts w:ascii="Arial" w:hAnsi="Arial" w:cs="Arial"/>
          <w:b/>
          <w:bCs/>
          <w:color w:val="000000"/>
        </w:rPr>
        <w:t xml:space="preserve"> </w:t>
      </w:r>
      <w:proofErr w:type="spellStart"/>
      <w:r w:rsidRPr="005E7861">
        <w:rPr>
          <w:rFonts w:ascii="Arial" w:hAnsi="Arial" w:cs="Arial"/>
          <w:b/>
          <w:bCs/>
          <w:color w:val="000000"/>
        </w:rPr>
        <w:t>Тосканай</w:t>
      </w:r>
      <w:proofErr w:type="spellEnd"/>
      <w:r w:rsidRPr="005E7861">
        <w:rPr>
          <w:rFonts w:ascii="Arial" w:hAnsi="Arial" w:cs="Arial"/>
          <w:b/>
          <w:bCs/>
          <w:color w:val="000000"/>
        </w:rPr>
        <w:t xml:space="preserve"> </w:t>
      </w:r>
      <w:proofErr w:type="spellStart"/>
      <w:r w:rsidRPr="005E7861">
        <w:rPr>
          <w:rFonts w:ascii="Arial" w:hAnsi="Arial" w:cs="Arial"/>
          <w:b/>
          <w:bCs/>
          <w:color w:val="000000"/>
        </w:rPr>
        <w:t>Айтмукановна</w:t>
      </w:r>
      <w:proofErr w:type="spellEnd"/>
      <w:r w:rsidRPr="005E7861">
        <w:rPr>
          <w:rFonts w:ascii="Arial" w:hAnsi="Arial" w:cs="Arial"/>
          <w:b/>
          <w:bCs/>
          <w:color w:val="000000"/>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доцент, Горно-Алтайский государственный университет, г. Горно-Алтайск, Россия</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Петрова Елена Алексеевна,</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доцент, Горно-Алтайский государственный университет, г. Горно-Алтайск, Россия</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Куттубаев</w:t>
      </w:r>
      <w:proofErr w:type="spellEnd"/>
      <w:r w:rsidRPr="005E7861">
        <w:rPr>
          <w:rFonts w:ascii="Arial" w:hAnsi="Arial" w:cs="Arial"/>
          <w:b/>
          <w:bCs/>
          <w:color w:val="000000"/>
        </w:rPr>
        <w:t xml:space="preserve"> </w:t>
      </w:r>
      <w:proofErr w:type="spellStart"/>
      <w:r w:rsidRPr="005E7861">
        <w:rPr>
          <w:rFonts w:ascii="Arial" w:hAnsi="Arial" w:cs="Arial"/>
          <w:b/>
          <w:bCs/>
          <w:color w:val="000000"/>
        </w:rPr>
        <w:t>Аяпбек</w:t>
      </w:r>
      <w:proofErr w:type="spellEnd"/>
      <w:r w:rsidRPr="005E7861">
        <w:rPr>
          <w:rFonts w:ascii="Arial" w:hAnsi="Arial" w:cs="Arial"/>
          <w:b/>
          <w:bCs/>
          <w:color w:val="000000"/>
        </w:rPr>
        <w:t xml:space="preserve"> </w:t>
      </w:r>
      <w:proofErr w:type="spellStart"/>
      <w:r w:rsidRPr="005E7861">
        <w:rPr>
          <w:rFonts w:ascii="Arial" w:hAnsi="Arial" w:cs="Arial"/>
          <w:b/>
          <w:bCs/>
          <w:color w:val="000000"/>
        </w:rPr>
        <w:t>Айтмуханович</w:t>
      </w:r>
      <w:proofErr w:type="spellEnd"/>
      <w:r w:rsidRPr="005E7861">
        <w:rPr>
          <w:rFonts w:ascii="Arial" w:hAnsi="Arial" w:cs="Arial"/>
          <w:b/>
          <w:bCs/>
          <w:color w:val="000000"/>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старший преподаватель, Горно-Алтайский государственный университет, г. Горно-Алтайск, Россия</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В статье рассматривается понятие цифровой трансформации сферы туризма на региональном уровне, проводится анализ организационных и правовых условий цифровой трансформации сферы туризма в Республике Алтай. По результатам анализа сделан вывод, что на региональном уровне созданы организационные и правовые условия для цифровой трансформации сферы туризма. Однако существует ряд барьеров, препятствующих </w:t>
      </w:r>
      <w:proofErr w:type="spellStart"/>
      <w:r w:rsidRPr="005E7861">
        <w:rPr>
          <w:rFonts w:ascii="Arial" w:hAnsi="Arial" w:cs="Arial"/>
          <w:color w:val="000000"/>
          <w:sz w:val="20"/>
          <w:szCs w:val="20"/>
        </w:rPr>
        <w:t>цифровизации</w:t>
      </w:r>
      <w:proofErr w:type="spellEnd"/>
      <w:r w:rsidRPr="005E7861">
        <w:rPr>
          <w:rFonts w:ascii="Arial" w:hAnsi="Arial" w:cs="Arial"/>
          <w:color w:val="000000"/>
          <w:sz w:val="20"/>
          <w:szCs w:val="20"/>
        </w:rPr>
        <w:t xml:space="preserve"> сферы туризма, которые могут быть устранены путем актуализации нормативно-правового регулирования и разработки четкого организационного механизма цифровой трансформации сферы туризма.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туризм; цифровая трансформация; цифровые технологии; цифровая экономика; организационный механизм; организационные и правовые условия; цифровая трансформация сферы туризма.</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338.48</w:t>
      </w:r>
    </w:p>
    <w:p w:rsidR="005E7861" w:rsidRPr="005E7861" w:rsidRDefault="005E7861" w:rsidP="005E7861">
      <w:pPr>
        <w:suppressAutoHyphens/>
        <w:autoSpaceDE w:val="0"/>
        <w:autoSpaceDN w:val="0"/>
        <w:adjustRightInd w:val="0"/>
        <w:spacing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 xml:space="preserve">Analysis of organizational </w:t>
      </w:r>
      <w:r w:rsidRPr="005E7861">
        <w:rPr>
          <w:rFonts w:ascii="Helios" w:hAnsi="Helios" w:cs="Helios"/>
          <w:b/>
          <w:bCs/>
          <w:caps/>
          <w:color w:val="000000"/>
          <w:sz w:val="30"/>
          <w:szCs w:val="30"/>
          <w:lang w:val="en-US"/>
        </w:rPr>
        <w:br/>
        <w:t xml:space="preserve">and legal conditions of the digital transformation of the tourism sphere at the regional level </w:t>
      </w:r>
      <w:r w:rsidRPr="005E7861">
        <w:rPr>
          <w:rFonts w:ascii="Helios" w:hAnsi="Helios" w:cs="Helios"/>
          <w:b/>
          <w:bCs/>
          <w:caps/>
          <w:color w:val="000000"/>
          <w:sz w:val="30"/>
          <w:szCs w:val="30"/>
          <w:lang w:val="en-US"/>
        </w:rPr>
        <w:br/>
        <w:t>(on the example of the Republic of Altai)</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Kuttubaeva</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Toskanay</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Aitmukanovna</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Associate Professor,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xml:space="preserve"> State University,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Russia</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Petrova</w:t>
      </w:r>
      <w:proofErr w:type="spellEnd"/>
      <w:r w:rsidRPr="005E7861">
        <w:rPr>
          <w:rFonts w:ascii="Arial" w:hAnsi="Arial" w:cs="Arial"/>
          <w:b/>
          <w:bCs/>
          <w:color w:val="000000"/>
          <w:lang w:val="en-US"/>
        </w:rPr>
        <w:t xml:space="preserve"> Elena </w:t>
      </w:r>
      <w:proofErr w:type="spellStart"/>
      <w:r w:rsidRPr="005E7861">
        <w:rPr>
          <w:rFonts w:ascii="Arial" w:hAnsi="Arial" w:cs="Arial"/>
          <w:b/>
          <w:bCs/>
          <w:color w:val="000000"/>
          <w:lang w:val="en-US"/>
        </w:rPr>
        <w:t>Alekseevna</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Associate Professor,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xml:space="preserve"> State University,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Russia</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Kuttubaev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Ayapbek</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Aitmukhanovich</w:t>
      </w:r>
      <w:proofErr w:type="spellEnd"/>
      <w:r w:rsidRPr="005E7861">
        <w:rPr>
          <w:rFonts w:ascii="Arial" w:hAnsi="Arial" w:cs="Arial"/>
          <w:b/>
          <w:bCs/>
          <w:color w:val="000000"/>
          <w:lang w:val="en-US"/>
        </w:rPr>
        <w:t>,</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Senior Lecturer,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xml:space="preserve"> State University, </w:t>
      </w:r>
      <w:proofErr w:type="spellStart"/>
      <w:r w:rsidRPr="005E7861">
        <w:rPr>
          <w:rFonts w:ascii="Arial" w:hAnsi="Arial" w:cs="Arial"/>
          <w:i/>
          <w:iCs/>
          <w:color w:val="000000"/>
          <w:lang w:val="en-US"/>
        </w:rPr>
        <w:t>Gorno-Altaisk</w:t>
      </w:r>
      <w:proofErr w:type="spellEnd"/>
      <w:r w:rsidRPr="005E7861">
        <w:rPr>
          <w:rFonts w:ascii="Arial" w:hAnsi="Arial" w:cs="Arial"/>
          <w:i/>
          <w:iCs/>
          <w:color w:val="000000"/>
          <w:lang w:val="en-US"/>
        </w:rPr>
        <w:t>, Russia</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The article discusses the concept of digital transformation of the tourism sector at the regional level, analyzes the organizational and legal conditions for the digital transformation of the tourism sector in the Altai Republic. Based on the results of the analysis, it was concluded that organizational and legal conditions for the digital transformation of the tourism sector have been created at the regional level. However, there are a number of priority barriers that impede the digitalization of the tourism sector, which can be eliminated by updating the legal regulation and developing a clear organizational mechanism for the digital transformation of the tourism sector.</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lastRenderedPageBreak/>
        <w:t>Keywords</w:t>
      </w:r>
      <w:r w:rsidRPr="005E7861">
        <w:rPr>
          <w:rFonts w:ascii="Arial" w:hAnsi="Arial" w:cs="Arial"/>
          <w:color w:val="000000"/>
          <w:sz w:val="20"/>
          <w:szCs w:val="20"/>
          <w:lang w:val="en-US"/>
        </w:rPr>
        <w:t>: tourism; digital transformation; digital technologies; digital economy; organizational mechanism; organizational and legal conditions; digital transformation of the tourism sector.</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rPr>
      </w:pPr>
      <w:r w:rsidRPr="005E7861">
        <w:rPr>
          <w:rFonts w:ascii="Arial" w:hAnsi="Arial" w:cs="Arial"/>
          <w:b/>
          <w:bCs/>
          <w:color w:val="000000"/>
          <w:sz w:val="28"/>
          <w:szCs w:val="28"/>
          <w:lang w:val="en-US"/>
        </w:rPr>
        <w:t>DOI</w:t>
      </w:r>
      <w:r w:rsidRPr="005E7861">
        <w:rPr>
          <w:rFonts w:ascii="Arial" w:hAnsi="Arial" w:cs="Arial"/>
          <w:b/>
          <w:bCs/>
          <w:color w:val="000000"/>
          <w:sz w:val="28"/>
          <w:szCs w:val="28"/>
        </w:rPr>
        <w:t xml:space="preserve"> 10.47576/</w:t>
      </w:r>
      <w:r w:rsidRPr="005E7861">
        <w:rPr>
          <w:rFonts w:ascii="Arial" w:hAnsi="Arial" w:cs="Arial"/>
          <w:color w:val="000000"/>
          <w:sz w:val="28"/>
          <w:szCs w:val="28"/>
        </w:rPr>
        <w:t xml:space="preserve">2712-7516_2021_1_3_81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t>УДК 338.3</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Управление трудоустройством выпускников вузов регионов</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t xml:space="preserve">Волков Артем Владимирович,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аспирант кафедры менеджмента и маркетинга, Владимирский государственный университет им. А.Г. и Н.Г. Столетовых, г. Владимир,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natalya.polzunowa@yandex.ru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Трансформация рынка труда влияет на структуру занятости населения. Вместе с тем региональные образовательные организации высшего и среднего профессионального образования не успевают подстроиться и изменить образовательные программы. В связи с этим возникает разрыв между образовательным рынком и рынком труда. Низкое качество предоставляемых образовательных услуг, несоответствие между квалификацией и навыками, необходимыми для будущих работников, приводят к массовому «прогоранию» компетенций.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профессиональная ориентация; управление трудоустройством; выпускники вузов; рынок труда.</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338.3</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 xml:space="preserve">Management of employment of graduates </w:t>
      </w:r>
      <w:r w:rsidRPr="005E7861">
        <w:rPr>
          <w:rFonts w:ascii="Helios" w:hAnsi="Helios" w:cs="Helios"/>
          <w:b/>
          <w:bCs/>
          <w:caps/>
          <w:color w:val="000000"/>
          <w:sz w:val="30"/>
          <w:szCs w:val="30"/>
          <w:lang w:val="en-US"/>
        </w:rPr>
        <w:br/>
        <w:t>of universities of the regions</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Volkov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Artem</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Vladimirovich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Postgraduate Student of the Department of Management and Marketing, Vladimir State University named after A.G. and N.G. </w:t>
      </w:r>
      <w:proofErr w:type="spellStart"/>
      <w:r w:rsidRPr="005E7861">
        <w:rPr>
          <w:rFonts w:ascii="Arial" w:hAnsi="Arial" w:cs="Arial"/>
          <w:i/>
          <w:iCs/>
          <w:color w:val="000000"/>
          <w:lang w:val="en-US"/>
        </w:rPr>
        <w:t>Stoletov</w:t>
      </w:r>
      <w:proofErr w:type="spellEnd"/>
      <w:r w:rsidRPr="005E7861">
        <w:rPr>
          <w:rFonts w:ascii="Arial" w:hAnsi="Arial" w:cs="Arial"/>
          <w:i/>
          <w:iCs/>
          <w:color w:val="000000"/>
          <w:lang w:val="en-US"/>
        </w:rPr>
        <w:t>, Vladimir, Russia, e-mail: natalya.polzunowa@yandex.ru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 xml:space="preserve">The transformation of the labor market affects changes in the structure of employment of the population. But regional educational organizations of higher and secondary vocational education do not have time to adjust to the transformation of the labor market and change the educational programs. In this regard, the stagnation or static structure of the education system becomes a significant reason for the gap between the educational market and the labor market. The low quality of the educational services </w:t>
      </w:r>
      <w:proofErr w:type="gramStart"/>
      <w:r w:rsidRPr="005E7861">
        <w:rPr>
          <w:rFonts w:ascii="Arial" w:hAnsi="Arial" w:cs="Arial"/>
          <w:color w:val="000000"/>
          <w:sz w:val="20"/>
          <w:szCs w:val="20"/>
          <w:lang w:val="en-US"/>
        </w:rPr>
        <w:t>provided,</w:t>
      </w:r>
      <w:proofErr w:type="gramEnd"/>
      <w:r w:rsidRPr="005E7861">
        <w:rPr>
          <w:rFonts w:ascii="Arial" w:hAnsi="Arial" w:cs="Arial"/>
          <w:color w:val="000000"/>
          <w:sz w:val="20"/>
          <w:szCs w:val="20"/>
          <w:lang w:val="en-US"/>
        </w:rPr>
        <w:t xml:space="preserve"> the discrepancy between the qualifications and skills necessary for future employees lead to a massive phenomenon of "burnout" of competencies.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professional orientation; employment management; university graduates; labor market.</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lang w:val="en-US"/>
        </w:rPr>
      </w:pPr>
      <w:r w:rsidRPr="005E7861">
        <w:rPr>
          <w:rFonts w:ascii="Arial" w:hAnsi="Arial" w:cs="Arial"/>
          <w:b/>
          <w:bCs/>
          <w:color w:val="000000"/>
          <w:sz w:val="28"/>
          <w:szCs w:val="28"/>
          <w:lang w:val="en-US"/>
        </w:rPr>
        <w:t>DOI 10.47576/</w:t>
      </w:r>
      <w:r w:rsidRPr="005E7861">
        <w:rPr>
          <w:rFonts w:ascii="Arial" w:hAnsi="Arial" w:cs="Arial"/>
          <w:color w:val="000000"/>
          <w:sz w:val="28"/>
          <w:szCs w:val="28"/>
          <w:lang w:val="en-US"/>
        </w:rPr>
        <w:t xml:space="preserve">2712-7516_2021_1_3_86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t>УДК 331.44</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Количественная оценка мотивации труда человеческих ресурсов</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Каракулин</w:t>
      </w:r>
      <w:proofErr w:type="spellEnd"/>
      <w:r w:rsidRPr="005E7861">
        <w:rPr>
          <w:rFonts w:ascii="Arial" w:hAnsi="Arial" w:cs="Arial"/>
          <w:b/>
          <w:bCs/>
          <w:color w:val="000000"/>
        </w:rPr>
        <w:t xml:space="preserve"> Антон Юрьевич,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аспирант кафедры финансов и кредита, Юго-Западный государственный университет, г. Курск,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lesha15-92@yandex.ru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r w:rsidRPr="005E7861">
        <w:rPr>
          <w:rFonts w:ascii="Arial" w:hAnsi="Arial" w:cs="Arial"/>
          <w:b/>
          <w:bCs/>
          <w:color w:val="000000"/>
        </w:rPr>
        <w:lastRenderedPageBreak/>
        <w:t xml:space="preserve">Сотников Александр Андреевич,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аспирант кафедры финансов и кредита, Юго-Западный государственный университет, г. Курск,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xml:space="preserve">: ershovairgen@yandex.ru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 xml:space="preserve">Развитие системы мотивации в государственном органе позволяет повысить эффективность труда государственных гражданских служащих и надлежащим образом организовать его, что способствует лучшему выполнению профессиональных обязанностей госслужащими и повышает лояльность к государственному органу, государству и интересам общества, снижению коррупции, а значит, эффективность деятельности государственных органов власти и государственного управления в целом повышается. Все глобальные изменения на государственной службе России вытекают, прежде всего, из существующих проблем в сфере регулирования труда государственных служащих. </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t>Ключевые слова</w:t>
      </w:r>
      <w:r w:rsidRPr="005E7861">
        <w:rPr>
          <w:rFonts w:ascii="Arial" w:hAnsi="Arial" w:cs="Arial"/>
          <w:color w:val="000000"/>
          <w:sz w:val="20"/>
          <w:szCs w:val="20"/>
        </w:rPr>
        <w:t>: мотивация труда; человеческие ресурсы; рынок труда.</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331.44</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Quantitative assessment of the motivation of human resources</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Karakulin</w:t>
      </w:r>
      <w:proofErr w:type="spellEnd"/>
      <w:r w:rsidRPr="005E7861">
        <w:rPr>
          <w:rFonts w:ascii="Arial" w:hAnsi="Arial" w:cs="Arial"/>
          <w:b/>
          <w:bCs/>
          <w:color w:val="000000"/>
          <w:lang w:val="en-US"/>
        </w:rPr>
        <w:t xml:space="preserve"> Anton </w:t>
      </w:r>
      <w:proofErr w:type="spellStart"/>
      <w:r w:rsidRPr="005E7861">
        <w:rPr>
          <w:rFonts w:ascii="Arial" w:hAnsi="Arial" w:cs="Arial"/>
          <w:b/>
          <w:bCs/>
          <w:color w:val="000000"/>
          <w:lang w:val="en-US"/>
        </w:rPr>
        <w:t>Yuryevich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Postgraduate student of the Department of Finance and Credit, Southwest State University, </w:t>
      </w:r>
      <w:r w:rsidRPr="005E7861">
        <w:rPr>
          <w:rFonts w:ascii="Arial" w:hAnsi="Arial" w:cs="Arial"/>
          <w:i/>
          <w:iCs/>
          <w:color w:val="000000"/>
        </w:rPr>
        <w:t>К</w:t>
      </w:r>
      <w:proofErr w:type="spellStart"/>
      <w:r w:rsidRPr="005E7861">
        <w:rPr>
          <w:rFonts w:ascii="Arial" w:hAnsi="Arial" w:cs="Arial"/>
          <w:i/>
          <w:iCs/>
          <w:color w:val="000000"/>
          <w:lang w:val="en-US"/>
        </w:rPr>
        <w:t>ursk</w:t>
      </w:r>
      <w:proofErr w:type="spellEnd"/>
      <w:r w:rsidRPr="005E7861">
        <w:rPr>
          <w:rFonts w:ascii="Arial" w:hAnsi="Arial" w:cs="Arial"/>
          <w:i/>
          <w:iCs/>
          <w:color w:val="000000"/>
          <w:lang w:val="en-US"/>
        </w:rPr>
        <w:t>, Russia, email: lesha15-92@yandex.ru</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Sotnikov</w:t>
      </w:r>
      <w:proofErr w:type="spellEnd"/>
      <w:r w:rsidRPr="005E7861">
        <w:rPr>
          <w:rFonts w:ascii="Arial" w:hAnsi="Arial" w:cs="Arial"/>
          <w:b/>
          <w:bCs/>
          <w:color w:val="000000"/>
          <w:lang w:val="en-US"/>
        </w:rPr>
        <w:t xml:space="preserve"> Alexander </w:t>
      </w:r>
      <w:proofErr w:type="spellStart"/>
      <w:r w:rsidRPr="005E7861">
        <w:rPr>
          <w:rFonts w:ascii="Arial" w:hAnsi="Arial" w:cs="Arial"/>
          <w:b/>
          <w:bCs/>
          <w:color w:val="000000"/>
          <w:lang w:val="en-US"/>
        </w:rPr>
        <w:t>Andreevich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Postgraduate student of the Department of Finance and Credit, Southwest State University, </w:t>
      </w:r>
      <w:r w:rsidRPr="005E7861">
        <w:rPr>
          <w:rFonts w:ascii="Arial" w:hAnsi="Arial" w:cs="Arial"/>
          <w:i/>
          <w:iCs/>
          <w:color w:val="000000"/>
        </w:rPr>
        <w:t>К</w:t>
      </w:r>
      <w:proofErr w:type="spellStart"/>
      <w:r w:rsidRPr="005E7861">
        <w:rPr>
          <w:rFonts w:ascii="Arial" w:hAnsi="Arial" w:cs="Arial"/>
          <w:i/>
          <w:iCs/>
          <w:color w:val="000000"/>
          <w:lang w:val="en-US"/>
        </w:rPr>
        <w:t>ursk</w:t>
      </w:r>
      <w:proofErr w:type="spellEnd"/>
      <w:r w:rsidRPr="005E7861">
        <w:rPr>
          <w:rFonts w:ascii="Arial" w:hAnsi="Arial" w:cs="Arial"/>
          <w:i/>
          <w:iCs/>
          <w:color w:val="000000"/>
          <w:lang w:val="en-US"/>
        </w:rPr>
        <w:t>, Russia, email: ershovairgen@yandex.ru</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 xml:space="preserve">The development of a motivation system in a state body makes it possible to increase the efficiency of the work of state civil servants and properly organize it, which contributes to the better performance of their professional duties by civil servants and increases loyalty to the state body, the state and the interests of society, reduces corruption, which means that the effectiveness of the activities of state authorities and public administration as a whole increases. All global changes in the civil service of Russia result, first of all, from the existing problems in the field of regulation of the work of civil servants. Firstly, the motives of individuals have become much more complicated, and the motivation of civil servants has remained at a low level, because simple regulations and job descriptions are no longer enough. Secondly, almost the entire incentive system is based on seniority. Thirdly, the theoretical basis for improving the motivations of civil servants is very poor: there are no comprehensive </w:t>
      </w:r>
      <w:proofErr w:type="gramStart"/>
      <w:r w:rsidRPr="005E7861">
        <w:rPr>
          <w:rFonts w:ascii="Arial" w:hAnsi="Arial" w:cs="Arial"/>
          <w:color w:val="000000"/>
          <w:sz w:val="20"/>
          <w:szCs w:val="20"/>
          <w:lang w:val="en-US"/>
        </w:rPr>
        <w:t>studies,</w:t>
      </w:r>
      <w:proofErr w:type="gramEnd"/>
      <w:r w:rsidRPr="005E7861">
        <w:rPr>
          <w:rFonts w:ascii="Arial" w:hAnsi="Arial" w:cs="Arial"/>
          <w:color w:val="000000"/>
          <w:sz w:val="20"/>
          <w:szCs w:val="20"/>
          <w:lang w:val="en-US"/>
        </w:rPr>
        <w:t xml:space="preserve"> all aspects of this topic are poorly studied through the prism of public service.</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labor motivation; human resources; labor market.</w:t>
      </w:r>
    </w:p>
    <w:p w:rsidR="005E7861" w:rsidRDefault="005E7861" w:rsidP="00133532"/>
    <w:p w:rsidR="005E7861" w:rsidRPr="005E7861" w:rsidRDefault="005E7861" w:rsidP="005E7861">
      <w:pPr>
        <w:autoSpaceDE w:val="0"/>
        <w:autoSpaceDN w:val="0"/>
        <w:adjustRightInd w:val="0"/>
        <w:spacing w:after="227" w:line="288" w:lineRule="auto"/>
        <w:textAlignment w:val="center"/>
        <w:rPr>
          <w:rFonts w:ascii="Arial" w:hAnsi="Arial" w:cs="Arial"/>
          <w:color w:val="000000"/>
          <w:sz w:val="28"/>
          <w:szCs w:val="28"/>
          <w:lang w:val="en-US"/>
        </w:rPr>
      </w:pPr>
      <w:r w:rsidRPr="005E7861">
        <w:rPr>
          <w:rFonts w:ascii="Arial" w:hAnsi="Arial" w:cs="Arial"/>
          <w:b/>
          <w:bCs/>
          <w:color w:val="000000"/>
          <w:sz w:val="28"/>
          <w:szCs w:val="28"/>
          <w:lang w:val="en-US"/>
        </w:rPr>
        <w:t>DOI 10.47576/</w:t>
      </w:r>
      <w:r w:rsidRPr="005E7861">
        <w:rPr>
          <w:rFonts w:ascii="Arial" w:hAnsi="Arial" w:cs="Arial"/>
          <w:color w:val="000000"/>
          <w:sz w:val="28"/>
          <w:szCs w:val="28"/>
          <w:lang w:val="en-US"/>
        </w:rPr>
        <w:t xml:space="preserve">2712-7516_2021_1_3_92 </w:t>
      </w: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rPr>
      </w:pPr>
      <w:r w:rsidRPr="005E7861">
        <w:rPr>
          <w:rFonts w:ascii="Arial" w:hAnsi="Arial" w:cs="Arial"/>
          <w:b/>
          <w:bCs/>
          <w:color w:val="000000"/>
          <w:sz w:val="28"/>
          <w:szCs w:val="28"/>
        </w:rPr>
        <w:t>УДК 631.15:338.43</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E7861">
        <w:rPr>
          <w:rFonts w:ascii="Helios" w:hAnsi="Helios" w:cs="Helios"/>
          <w:b/>
          <w:bCs/>
          <w:caps/>
          <w:color w:val="000000"/>
          <w:sz w:val="30"/>
          <w:szCs w:val="30"/>
        </w:rPr>
        <w:t>Условия и факторы расширенного воспроизводства в современном сельском хозяйстве России</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rPr>
      </w:pPr>
      <w:proofErr w:type="spellStart"/>
      <w:r w:rsidRPr="005E7861">
        <w:rPr>
          <w:rFonts w:ascii="Arial" w:hAnsi="Arial" w:cs="Arial"/>
          <w:b/>
          <w:bCs/>
          <w:color w:val="000000"/>
        </w:rPr>
        <w:t>Кибиров</w:t>
      </w:r>
      <w:proofErr w:type="spellEnd"/>
      <w:r w:rsidRPr="005E7861">
        <w:rPr>
          <w:rFonts w:ascii="Arial" w:hAnsi="Arial" w:cs="Arial"/>
          <w:b/>
          <w:bCs/>
          <w:color w:val="000000"/>
        </w:rPr>
        <w:t xml:space="preserve"> </w:t>
      </w:r>
      <w:proofErr w:type="spellStart"/>
      <w:r w:rsidRPr="005E7861">
        <w:rPr>
          <w:rFonts w:ascii="Arial" w:hAnsi="Arial" w:cs="Arial"/>
          <w:b/>
          <w:bCs/>
          <w:color w:val="000000"/>
        </w:rPr>
        <w:t>Алихан</w:t>
      </w:r>
      <w:proofErr w:type="spellEnd"/>
      <w:r w:rsidRPr="005E7861">
        <w:rPr>
          <w:rFonts w:ascii="Arial" w:hAnsi="Arial" w:cs="Arial"/>
          <w:b/>
          <w:bCs/>
          <w:color w:val="000000"/>
        </w:rPr>
        <w:t xml:space="preserve"> Яковлевич,</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rPr>
      </w:pPr>
      <w:r w:rsidRPr="005E7861">
        <w:rPr>
          <w:rFonts w:ascii="Arial" w:hAnsi="Arial" w:cs="Arial"/>
          <w:i/>
          <w:iCs/>
          <w:color w:val="000000"/>
        </w:rPr>
        <w:t>доктор экономических наук, профессор, главный научный сотрудник, Федеральный научный центр аграрной экономики и социального развития сельских территорий – Всероссийский научно-исследовательский институт экономики сельского хозяйства, г. Москва, Россия, e-</w:t>
      </w:r>
      <w:proofErr w:type="spellStart"/>
      <w:r w:rsidRPr="005E7861">
        <w:rPr>
          <w:rFonts w:ascii="Arial" w:hAnsi="Arial" w:cs="Arial"/>
          <w:i/>
          <w:iCs/>
          <w:color w:val="000000"/>
        </w:rPr>
        <w:t>mail</w:t>
      </w:r>
      <w:proofErr w:type="spellEnd"/>
      <w:r w:rsidRPr="005E7861">
        <w:rPr>
          <w:rFonts w:ascii="Arial" w:hAnsi="Arial" w:cs="Arial"/>
          <w:i/>
          <w:iCs/>
          <w:color w:val="000000"/>
        </w:rPr>
        <w:t>: kibirov@gmail.com</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z w:val="20"/>
          <w:szCs w:val="20"/>
        </w:rPr>
        <w:t>В статье автор обосновывает необходимость исследования условий и факторов для формирования среды расширенного инновационного воспроизводства. По результатам исследования совокупности условий и факторов, необходимых для развития потенциала аграрной сферы на основе инновационных технологий, предложены рекомендации по созданию среды инновационного развития агропромышленного комплекса и повышению эффективности отрасли сельского хозяйства.</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r w:rsidRPr="005E7861">
        <w:rPr>
          <w:rFonts w:ascii="Arial" w:hAnsi="Arial" w:cs="Arial"/>
          <w:color w:val="000000"/>
          <w:spacing w:val="43"/>
          <w:sz w:val="20"/>
          <w:szCs w:val="20"/>
        </w:rPr>
        <w:lastRenderedPageBreak/>
        <w:t>Ключевые слова</w:t>
      </w:r>
      <w:r w:rsidRPr="005E7861">
        <w:rPr>
          <w:rFonts w:ascii="Arial" w:hAnsi="Arial" w:cs="Arial"/>
          <w:color w:val="000000"/>
          <w:sz w:val="20"/>
          <w:szCs w:val="20"/>
        </w:rPr>
        <w:t>: расширенное воспроизводство; агропромышленный комплекс; сельское хозяйство; производственный потенциал; инновационный потенциал.</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5E7861" w:rsidRPr="005E7861" w:rsidRDefault="005E7861" w:rsidP="005E7861">
      <w:pPr>
        <w:autoSpaceDE w:val="0"/>
        <w:autoSpaceDN w:val="0"/>
        <w:adjustRightInd w:val="0"/>
        <w:spacing w:after="227" w:line="288" w:lineRule="auto"/>
        <w:textAlignment w:val="center"/>
        <w:rPr>
          <w:rFonts w:ascii="Arial" w:hAnsi="Arial" w:cs="Arial"/>
          <w:b/>
          <w:bCs/>
          <w:color w:val="000000"/>
          <w:sz w:val="28"/>
          <w:szCs w:val="28"/>
          <w:lang w:val="en-US"/>
        </w:rPr>
      </w:pPr>
      <w:r w:rsidRPr="005E7861">
        <w:rPr>
          <w:rFonts w:ascii="Arial" w:hAnsi="Arial" w:cs="Arial"/>
          <w:b/>
          <w:bCs/>
          <w:color w:val="000000"/>
          <w:sz w:val="28"/>
          <w:szCs w:val="28"/>
          <w:lang w:val="en-US"/>
        </w:rPr>
        <w:t>UDC 631.15:338.43</w:t>
      </w:r>
    </w:p>
    <w:p w:rsidR="005E7861" w:rsidRPr="005E7861" w:rsidRDefault="005E7861" w:rsidP="005E7861">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E7861">
        <w:rPr>
          <w:rFonts w:ascii="Helios" w:hAnsi="Helios" w:cs="Helios"/>
          <w:b/>
          <w:bCs/>
          <w:caps/>
          <w:color w:val="000000"/>
          <w:sz w:val="30"/>
          <w:szCs w:val="30"/>
          <w:lang w:val="en-US"/>
        </w:rPr>
        <w:t>Conditions and factors of the problems of expanded reproduction in modern agriculture in Russia</w:t>
      </w:r>
    </w:p>
    <w:p w:rsidR="005E7861" w:rsidRPr="005E7861" w:rsidRDefault="005E7861" w:rsidP="005E786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E7861">
        <w:rPr>
          <w:rFonts w:ascii="Arial" w:hAnsi="Arial" w:cs="Arial"/>
          <w:b/>
          <w:bCs/>
          <w:color w:val="000000"/>
          <w:lang w:val="en-US"/>
        </w:rPr>
        <w:t>Kibirov</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Alikhan</w:t>
      </w:r>
      <w:proofErr w:type="spellEnd"/>
      <w:r w:rsidRPr="005E7861">
        <w:rPr>
          <w:rFonts w:ascii="Arial" w:hAnsi="Arial" w:cs="Arial"/>
          <w:b/>
          <w:bCs/>
          <w:color w:val="000000"/>
          <w:lang w:val="en-US"/>
        </w:rPr>
        <w:t xml:space="preserve"> </w:t>
      </w:r>
      <w:proofErr w:type="spellStart"/>
      <w:r w:rsidRPr="005E7861">
        <w:rPr>
          <w:rFonts w:ascii="Arial" w:hAnsi="Arial" w:cs="Arial"/>
          <w:b/>
          <w:bCs/>
          <w:color w:val="000000"/>
          <w:lang w:val="en-US"/>
        </w:rPr>
        <w:t>Yakovlevich</w:t>
      </w:r>
      <w:proofErr w:type="spellEnd"/>
      <w:r w:rsidRPr="005E7861">
        <w:rPr>
          <w:rFonts w:ascii="Arial" w:hAnsi="Arial" w:cs="Arial"/>
          <w:b/>
          <w:bCs/>
          <w:color w:val="000000"/>
          <w:lang w:val="en-US"/>
        </w:rPr>
        <w:t xml:space="preserve">, </w:t>
      </w:r>
    </w:p>
    <w:p w:rsidR="005E7861" w:rsidRPr="005E7861" w:rsidRDefault="005E7861" w:rsidP="005E7861">
      <w:pPr>
        <w:autoSpaceDE w:val="0"/>
        <w:autoSpaceDN w:val="0"/>
        <w:adjustRightInd w:val="0"/>
        <w:spacing w:after="113" w:line="288" w:lineRule="auto"/>
        <w:ind w:left="1701"/>
        <w:jc w:val="both"/>
        <w:textAlignment w:val="center"/>
        <w:rPr>
          <w:rFonts w:ascii="Arial" w:hAnsi="Arial" w:cs="Arial"/>
          <w:i/>
          <w:iCs/>
          <w:color w:val="000000"/>
          <w:lang w:val="en-US"/>
        </w:rPr>
      </w:pPr>
      <w:r w:rsidRPr="005E7861">
        <w:rPr>
          <w:rFonts w:ascii="Arial" w:hAnsi="Arial" w:cs="Arial"/>
          <w:i/>
          <w:iCs/>
          <w:color w:val="000000"/>
          <w:lang w:val="en-US"/>
        </w:rPr>
        <w:t xml:space="preserve">Doctor of Economics, Professor, Chief Researcher, Federal Research Center for Agrarian Economy and Social Development of Rural Areas – All-Russian Research Institute for Agricultural Economics, Moscow, Russian Federation, </w:t>
      </w:r>
      <w:r w:rsidRPr="005E7861">
        <w:rPr>
          <w:rFonts w:ascii="Arial" w:hAnsi="Arial" w:cs="Arial"/>
          <w:i/>
          <w:iCs/>
          <w:color w:val="000000"/>
        </w:rPr>
        <w:t>е</w:t>
      </w:r>
      <w:r w:rsidRPr="005E7861">
        <w:rPr>
          <w:rFonts w:ascii="Arial" w:hAnsi="Arial" w:cs="Arial"/>
          <w:i/>
          <w:iCs/>
          <w:color w:val="000000"/>
          <w:lang w:val="en-US"/>
        </w:rPr>
        <w:t>-mail: kibirov@gmail.com</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z w:val="20"/>
          <w:szCs w:val="20"/>
          <w:lang w:val="en-US"/>
        </w:rPr>
        <w:t>In the article author substantiates the need to research the conditions and factors for the formation of an environment for expanded innovative reproduction. Based on the research of the set of circumstances necessary for the development of the potential of the agricultural sector based on innovative technologies, recommendations are proposed for creating conditions for the innovative development of the agro-industrial complex and increasing the efficiency of the agricultural sector.</w:t>
      </w:r>
    </w:p>
    <w:p w:rsidR="005E7861" w:rsidRPr="005E7861" w:rsidRDefault="005E7861" w:rsidP="005E786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E7861">
        <w:rPr>
          <w:rFonts w:ascii="Arial" w:hAnsi="Arial" w:cs="Arial"/>
          <w:color w:val="000000"/>
          <w:spacing w:val="43"/>
          <w:sz w:val="20"/>
          <w:szCs w:val="20"/>
          <w:lang w:val="en-US"/>
        </w:rPr>
        <w:t>Keywords</w:t>
      </w:r>
      <w:r w:rsidRPr="005E7861">
        <w:rPr>
          <w:rFonts w:ascii="Arial" w:hAnsi="Arial" w:cs="Arial"/>
          <w:color w:val="000000"/>
          <w:sz w:val="20"/>
          <w:szCs w:val="20"/>
          <w:lang w:val="en-US"/>
        </w:rPr>
        <w:t>: expanded reproduction; agro-industrial complex; agriculture; production potential; innovation potential.</w:t>
      </w:r>
    </w:p>
    <w:p w:rsidR="005E7861" w:rsidRPr="005E7861" w:rsidRDefault="005E7861" w:rsidP="00133532">
      <w:pPr>
        <w:rPr>
          <w:lang w:val="en-US"/>
        </w:rPr>
      </w:pPr>
    </w:p>
    <w:sectPr w:rsidR="005E7861" w:rsidRPr="005E7861" w:rsidSect="00BB50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A"/>
    <w:rsid w:val="000B0B0A"/>
    <w:rsid w:val="00133532"/>
    <w:rsid w:val="002707EC"/>
    <w:rsid w:val="00366D07"/>
    <w:rsid w:val="005E7861"/>
    <w:rsid w:val="00A034AB"/>
    <w:rsid w:val="00A57324"/>
    <w:rsid w:val="00F2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B0B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B0B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B0B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B0B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втор_кандидат_англ"/>
    <w:basedOn w:val="a6"/>
    <w:uiPriority w:val="99"/>
    <w:rsid w:val="000B0B0A"/>
  </w:style>
  <w:style w:type="paragraph" w:customStyle="1" w:styleId="a8">
    <w:name w:val="аннотация"/>
    <w:basedOn w:val="a"/>
    <w:uiPriority w:val="99"/>
    <w:rsid w:val="000B0B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9">
    <w:name w:val="Заголовок статьи_англ"/>
    <w:basedOn w:val="a4"/>
    <w:uiPriority w:val="99"/>
    <w:rsid w:val="000B0B0A"/>
  </w:style>
  <w:style w:type="paragraph" w:customStyle="1" w:styleId="aa">
    <w:name w:val="Автор_англ"/>
    <w:basedOn w:val="a5"/>
    <w:uiPriority w:val="99"/>
    <w:rsid w:val="000B0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B0B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B0B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B0B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B0B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втор_кандидат_англ"/>
    <w:basedOn w:val="a6"/>
    <w:uiPriority w:val="99"/>
    <w:rsid w:val="000B0B0A"/>
  </w:style>
  <w:style w:type="paragraph" w:customStyle="1" w:styleId="a8">
    <w:name w:val="аннотация"/>
    <w:basedOn w:val="a"/>
    <w:uiPriority w:val="99"/>
    <w:rsid w:val="000B0B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9">
    <w:name w:val="Заголовок статьи_англ"/>
    <w:basedOn w:val="a4"/>
    <w:uiPriority w:val="99"/>
    <w:rsid w:val="000B0B0A"/>
  </w:style>
  <w:style w:type="paragraph" w:customStyle="1" w:styleId="aa">
    <w:name w:val="Автор_англ"/>
    <w:basedOn w:val="a5"/>
    <w:uiPriority w:val="99"/>
    <w:rsid w:val="000B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5378</Words>
  <Characters>30655</Characters>
  <Application>Microsoft Office Word</Application>
  <DocSecurity>0</DocSecurity>
  <Lines>255</Lines>
  <Paragraphs>71</Paragraphs>
  <ScaleCrop>false</ScaleCrop>
  <Company>Krokoz™</Company>
  <LinksUpToDate>false</LinksUpToDate>
  <CharactersWithSpaces>35962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2022-02-01T16:35:00Z</dcterms:created>
  <dcterms:modified xsi:type="dcterms:W3CDTF">2022-02-01T17:56:00Z</dcterms:modified>
</cp:coreProperties>
</file>