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8C8" w:rsidRPr="00AD48C8" w:rsidRDefault="00AD48C8" w:rsidP="00AD48C8">
      <w:pPr>
        <w:pStyle w:val="a3"/>
        <w:rPr>
          <w:lang w:val="ru-RU"/>
        </w:rPr>
      </w:pPr>
      <w:r w:rsidRPr="00AD48C8">
        <w:rPr>
          <w:lang w:val="ru-RU"/>
        </w:rPr>
        <w:t>УДК 339</w:t>
      </w:r>
    </w:p>
    <w:p w:rsidR="00AD48C8" w:rsidRDefault="00AD48C8" w:rsidP="00AD48C8">
      <w:pPr>
        <w:pStyle w:val="a4"/>
      </w:pPr>
      <w:r>
        <w:t xml:space="preserve">Стратегическая трансформация </w:t>
      </w:r>
      <w:proofErr w:type="gramStart"/>
      <w:r>
        <w:t>бизнес-моделей</w:t>
      </w:r>
      <w:proofErr w:type="gramEnd"/>
      <w:r>
        <w:t xml:space="preserve"> экономического сотрудничества в мировой экономике: теоретико-методологический аспект</w:t>
      </w:r>
    </w:p>
    <w:p w:rsidR="00AD48C8" w:rsidRDefault="00AD48C8" w:rsidP="00AD48C8">
      <w:pPr>
        <w:pStyle w:val="a5"/>
      </w:pPr>
      <w:r>
        <w:t xml:space="preserve">Арутюнян </w:t>
      </w:r>
      <w:proofErr w:type="spellStart"/>
      <w:r>
        <w:t>Арман</w:t>
      </w:r>
      <w:proofErr w:type="spellEnd"/>
      <w:r>
        <w:t xml:space="preserve"> </w:t>
      </w:r>
      <w:proofErr w:type="spellStart"/>
      <w:r>
        <w:t>Арзуманович</w:t>
      </w:r>
      <w:proofErr w:type="spellEnd"/>
      <w:r>
        <w:t xml:space="preserve">, </w:t>
      </w:r>
    </w:p>
    <w:p w:rsidR="00AD48C8" w:rsidRDefault="00AD48C8" w:rsidP="00AD48C8">
      <w:pPr>
        <w:pStyle w:val="a6"/>
      </w:pPr>
      <w:r>
        <w:t xml:space="preserve">магистрант, Университет </w:t>
      </w:r>
      <w:proofErr w:type="spellStart"/>
      <w:r>
        <w:t>Цинхуа</w:t>
      </w:r>
      <w:proofErr w:type="spellEnd"/>
      <w:r>
        <w:t>, Китай, Arman.har99@gmail.com</w:t>
      </w:r>
    </w:p>
    <w:p w:rsidR="00AD48C8" w:rsidRDefault="00AD48C8" w:rsidP="00AD48C8">
      <w:pPr>
        <w:pStyle w:val="a7"/>
      </w:pPr>
      <w:r>
        <w:t xml:space="preserve">В статье рассматривается проблема стратегической трансформации </w:t>
      </w:r>
      <w:proofErr w:type="gramStart"/>
      <w:r>
        <w:t>бизнес-моделей</w:t>
      </w:r>
      <w:proofErr w:type="gramEnd"/>
      <w:r>
        <w:t xml:space="preserve"> экономического сотрудничества в условиях ускоренной цифровизации, институциональной фрагментации мировой экономики и роста глобальной нестабильности. Обоснована необходимость перехода от традиционных централизованных моделей взаимодействия к распределенным </w:t>
      </w:r>
      <w:proofErr w:type="spellStart"/>
      <w:r>
        <w:t>экосистемным</w:t>
      </w:r>
      <w:proofErr w:type="spellEnd"/>
      <w:r>
        <w:t xml:space="preserve"> форматам, обладающим повышенной адаптивностью и устойчивостью. Выделены основные принципы построения современных </w:t>
      </w:r>
      <w:proofErr w:type="gramStart"/>
      <w:r>
        <w:t>бизнес-моделей</w:t>
      </w:r>
      <w:proofErr w:type="gramEnd"/>
      <w:r>
        <w:t xml:space="preserve">: </w:t>
      </w:r>
      <w:proofErr w:type="spellStart"/>
      <w:r>
        <w:t>платформизация</w:t>
      </w:r>
      <w:proofErr w:type="spellEnd"/>
      <w:r>
        <w:t xml:space="preserve">, институциональная гибридизация, интеграция ESG-ориентированных ценностей, когнитивная </w:t>
      </w:r>
      <w:proofErr w:type="spellStart"/>
      <w:r>
        <w:t>резилиентность</w:t>
      </w:r>
      <w:proofErr w:type="spellEnd"/>
      <w:r>
        <w:t xml:space="preserve"> и </w:t>
      </w:r>
      <w:proofErr w:type="spellStart"/>
      <w:r>
        <w:t>полиинституциональная</w:t>
      </w:r>
      <w:proofErr w:type="spellEnd"/>
      <w:r>
        <w:t xml:space="preserve"> совместимость. Предложена авторская классификация стратегических моделей сотрудничества. Подчеркнута научная новизна исследования и практическая значимость разработанной концепции для стратегического планирования в условиях многополярной мировой экономики.</w:t>
      </w:r>
    </w:p>
    <w:p w:rsidR="00AD48C8" w:rsidRDefault="00AD48C8" w:rsidP="00AD48C8">
      <w:pPr>
        <w:pStyle w:val="a7"/>
      </w:pPr>
      <w:r>
        <w:rPr>
          <w:spacing w:val="43"/>
        </w:rPr>
        <w:t>Ключевые слова:</w:t>
      </w:r>
      <w:r>
        <w:t xml:space="preserve"> стратегическая трансформация; </w:t>
      </w:r>
      <w:proofErr w:type="gramStart"/>
      <w:r>
        <w:t>бизнес-модели</w:t>
      </w:r>
      <w:proofErr w:type="gramEnd"/>
      <w:r>
        <w:t>; экономическое сотрудничество; цифровая экономика; глобальная нестабильность; экосистемы; устойчивое развитие.</w:t>
      </w:r>
    </w:p>
    <w:p w:rsidR="00AD48C8" w:rsidRDefault="00AD48C8" w:rsidP="00AD48C8">
      <w:pPr>
        <w:pStyle w:val="a7"/>
      </w:pPr>
    </w:p>
    <w:p w:rsidR="00AD48C8" w:rsidRPr="00AD48C8" w:rsidRDefault="00AD48C8" w:rsidP="00AD48C8">
      <w:pPr>
        <w:pStyle w:val="a8"/>
        <w:rPr>
          <w:lang w:val="en-US"/>
        </w:rPr>
      </w:pPr>
      <w:r w:rsidRPr="00AD48C8">
        <w:rPr>
          <w:lang w:val="en-US"/>
        </w:rPr>
        <w:t>Strategic Transformation of Business Models of Economic Cooperation in the Global Economy: Theoretical and Methodological Aspect</w:t>
      </w:r>
    </w:p>
    <w:p w:rsidR="00AD48C8" w:rsidRPr="00AD48C8" w:rsidRDefault="00AD48C8" w:rsidP="00AD48C8">
      <w:pPr>
        <w:pStyle w:val="a9"/>
        <w:rPr>
          <w:lang w:val="en-US"/>
        </w:rPr>
      </w:pPr>
      <w:proofErr w:type="spellStart"/>
      <w:proofErr w:type="gramStart"/>
      <w:r w:rsidRPr="00AD48C8">
        <w:rPr>
          <w:lang w:val="en-US"/>
        </w:rPr>
        <w:t>Harutyunyan</w:t>
      </w:r>
      <w:proofErr w:type="spellEnd"/>
      <w:r w:rsidRPr="00AD48C8">
        <w:rPr>
          <w:lang w:val="en-US"/>
        </w:rPr>
        <w:t xml:space="preserve"> </w:t>
      </w:r>
      <w:proofErr w:type="spellStart"/>
      <w:r w:rsidRPr="00AD48C8">
        <w:rPr>
          <w:lang w:val="en-US"/>
        </w:rPr>
        <w:t>Arman</w:t>
      </w:r>
      <w:proofErr w:type="spellEnd"/>
      <w:r w:rsidRPr="00AD48C8">
        <w:rPr>
          <w:lang w:val="en-US"/>
        </w:rPr>
        <w:t xml:space="preserve"> A.,</w:t>
      </w:r>
      <w:proofErr w:type="gramEnd"/>
      <w:r w:rsidRPr="00AD48C8">
        <w:rPr>
          <w:lang w:val="en-US"/>
        </w:rPr>
        <w:t xml:space="preserve"> </w:t>
      </w:r>
    </w:p>
    <w:p w:rsidR="00AD48C8" w:rsidRPr="00AD48C8" w:rsidRDefault="00AD48C8" w:rsidP="00AD48C8">
      <w:pPr>
        <w:pStyle w:val="aa"/>
        <w:rPr>
          <w:lang w:val="en-US"/>
        </w:rPr>
      </w:pPr>
      <w:r w:rsidRPr="00AD48C8">
        <w:rPr>
          <w:lang w:val="en-US"/>
        </w:rPr>
        <w:t>Master’s Student, Tsinghua University, China, Arman.har99@gmail.com</w:t>
      </w:r>
    </w:p>
    <w:p w:rsidR="00AD48C8" w:rsidRPr="00AD48C8" w:rsidRDefault="00AD48C8" w:rsidP="00AD48C8">
      <w:pPr>
        <w:pStyle w:val="a7"/>
        <w:rPr>
          <w:lang w:val="en-US"/>
        </w:rPr>
      </w:pPr>
      <w:r w:rsidRPr="00AD48C8">
        <w:rPr>
          <w:lang w:val="en-US"/>
        </w:rPr>
        <w:t xml:space="preserve">The article addresses the issue of strategic transformation of business models for economic cooperation under conditions of accelerated digitalization, institutional fragmentation of the world economy, and growing global instability. It substantiates the necessity of transitioning from traditional centralized interaction models to distributed ecosystem-based formats characterized by enhanced adaptability and resilience. The key principles for constructing modern business models are identified: </w:t>
      </w:r>
      <w:proofErr w:type="spellStart"/>
      <w:r w:rsidRPr="00AD48C8">
        <w:rPr>
          <w:lang w:val="en-US"/>
        </w:rPr>
        <w:t>platformization</w:t>
      </w:r>
      <w:proofErr w:type="spellEnd"/>
      <w:r w:rsidRPr="00AD48C8">
        <w:rPr>
          <w:lang w:val="en-US"/>
        </w:rPr>
        <w:t xml:space="preserve">, institutional hybridization, ESG-oriented value integration, cognitive resilience, and </w:t>
      </w:r>
      <w:proofErr w:type="spellStart"/>
      <w:r w:rsidRPr="00AD48C8">
        <w:rPr>
          <w:lang w:val="en-US"/>
        </w:rPr>
        <w:t>polyinstitutional</w:t>
      </w:r>
      <w:proofErr w:type="spellEnd"/>
      <w:r w:rsidRPr="00AD48C8">
        <w:rPr>
          <w:lang w:val="en-US"/>
        </w:rPr>
        <w:t xml:space="preserve"> compatibility. The author proposes a classification of strategic cooperation models, highlighting the scientific novelty and practical relevance of the developed concept for strategic planning in a multipolar global economy.</w:t>
      </w:r>
    </w:p>
    <w:p w:rsidR="00AD48C8" w:rsidRPr="00AD48C8" w:rsidRDefault="00AD48C8" w:rsidP="00AD48C8">
      <w:pPr>
        <w:pStyle w:val="a7"/>
        <w:rPr>
          <w:lang w:val="en-US"/>
        </w:rPr>
      </w:pPr>
      <w:r w:rsidRPr="00AD48C8">
        <w:rPr>
          <w:spacing w:val="43"/>
          <w:lang w:val="en-US"/>
        </w:rPr>
        <w:t>Keywords</w:t>
      </w:r>
      <w:r w:rsidRPr="00AD48C8">
        <w:rPr>
          <w:lang w:val="en-US"/>
        </w:rPr>
        <w:t>: strategic transformation; business models; economic cooperation; digital economy; global instability; ecosystems; sustainable development.</w:t>
      </w:r>
    </w:p>
    <w:p w:rsidR="00AD48C8" w:rsidRDefault="00AD48C8" w:rsidP="00AD48C8">
      <w:pPr>
        <w:pStyle w:val="a3"/>
      </w:pPr>
      <w:r>
        <w:t>УДК 372.878</w:t>
      </w:r>
    </w:p>
    <w:p w:rsidR="00AD48C8" w:rsidRDefault="00AD48C8" w:rsidP="00AD48C8">
      <w:pPr>
        <w:pStyle w:val="a4"/>
      </w:pPr>
      <w:r>
        <w:t>Методика преподавания образно-смысловых интонаций при подготовке исполнителей народного репертуара в музыкальных образовательных учреждениях</w:t>
      </w:r>
    </w:p>
    <w:p w:rsidR="00AD48C8" w:rsidRDefault="00AD48C8" w:rsidP="00AD48C8">
      <w:pPr>
        <w:pStyle w:val="a5"/>
      </w:pPr>
      <w:proofErr w:type="spellStart"/>
      <w:r>
        <w:t>Балашева</w:t>
      </w:r>
      <w:proofErr w:type="spellEnd"/>
      <w:r>
        <w:t xml:space="preserve"> Майя Валерьевна,</w:t>
      </w:r>
    </w:p>
    <w:p w:rsidR="00AD48C8" w:rsidRDefault="00AD48C8" w:rsidP="00AD48C8">
      <w:pPr>
        <w:pStyle w:val="a6"/>
      </w:pPr>
      <w:r>
        <w:t>вокалист-исполнитель, Нижний Новгород, Россия, m.balashova@icloud.com</w:t>
      </w:r>
    </w:p>
    <w:p w:rsidR="00AD48C8" w:rsidRDefault="00AD48C8" w:rsidP="00AD48C8">
      <w:pPr>
        <w:pStyle w:val="a7"/>
      </w:pPr>
      <w:r>
        <w:t xml:space="preserve">В статье рассматривается проблема смещения акцентов в обучении исполнителей народного вокального репертуара от смыслового содержания к техническим аспектам исполнения. Автор обосновывает необходимость формирования у студентов навыков образно-смысловой интонации как важнейшего элемента выразительности народной песни. Разработанная методика предполагает интеграцию анализа текста, работы с речевой интонацией, актерского мастерства и сценического движения в структуру вокального обучения. </w:t>
      </w:r>
      <w:r>
        <w:lastRenderedPageBreak/>
        <w:t>Основное внимание уделяется семантическому осмыслению текста, эмоциональному проживанию песни и формированию целостного сценического образа.</w:t>
      </w:r>
    </w:p>
    <w:p w:rsidR="00AD48C8" w:rsidRDefault="00AD48C8" w:rsidP="00AD48C8">
      <w:pPr>
        <w:pStyle w:val="a7"/>
      </w:pPr>
      <w:proofErr w:type="gramStart"/>
      <w:r>
        <w:rPr>
          <w:spacing w:val="43"/>
        </w:rPr>
        <w:t>Ключевые слова:</w:t>
      </w:r>
      <w:r>
        <w:t xml:space="preserve"> народное пение; образно-смысловая интонация; методика преподавания; вокальное обучение; междисциплинарный подход; интерпретация текста; актерское мастерство; сценическая выразительность; речевая интонация.</w:t>
      </w:r>
      <w:proofErr w:type="gramEnd"/>
    </w:p>
    <w:p w:rsidR="00AD48C8" w:rsidRDefault="00AD48C8" w:rsidP="00AD48C8">
      <w:pPr>
        <w:pStyle w:val="a7"/>
      </w:pPr>
    </w:p>
    <w:p w:rsidR="00AD48C8" w:rsidRPr="00AD48C8" w:rsidRDefault="00AD48C8" w:rsidP="00AD48C8">
      <w:pPr>
        <w:pStyle w:val="a8"/>
        <w:rPr>
          <w:lang w:val="en-US"/>
        </w:rPr>
      </w:pPr>
      <w:r w:rsidRPr="00AD48C8">
        <w:rPr>
          <w:lang w:val="en-US"/>
        </w:rPr>
        <w:t>Teaching Methodology of Figurative-Semantic Intonation in the Training of Folk Repertoire Performers in Music Education Institutions</w:t>
      </w:r>
    </w:p>
    <w:p w:rsidR="00AD48C8" w:rsidRPr="00AD48C8" w:rsidRDefault="00AD48C8" w:rsidP="00AD48C8">
      <w:pPr>
        <w:pStyle w:val="a9"/>
        <w:rPr>
          <w:lang w:val="en-US"/>
        </w:rPr>
      </w:pPr>
      <w:proofErr w:type="spellStart"/>
      <w:r w:rsidRPr="00AD48C8">
        <w:rPr>
          <w:lang w:val="en-US"/>
        </w:rPr>
        <w:t>Balasheva</w:t>
      </w:r>
      <w:proofErr w:type="spellEnd"/>
      <w:r w:rsidRPr="00AD48C8">
        <w:rPr>
          <w:lang w:val="en-US"/>
        </w:rPr>
        <w:t xml:space="preserve"> </w:t>
      </w:r>
      <w:proofErr w:type="spellStart"/>
      <w:r w:rsidRPr="00AD48C8">
        <w:rPr>
          <w:lang w:val="en-US"/>
        </w:rPr>
        <w:t>Maiia</w:t>
      </w:r>
      <w:proofErr w:type="spellEnd"/>
      <w:r w:rsidRPr="00AD48C8">
        <w:rPr>
          <w:lang w:val="en-US"/>
        </w:rPr>
        <w:t xml:space="preserve"> V., </w:t>
      </w:r>
    </w:p>
    <w:p w:rsidR="00AD48C8" w:rsidRPr="00AD48C8" w:rsidRDefault="00AD48C8" w:rsidP="00AD48C8">
      <w:pPr>
        <w:pStyle w:val="aa"/>
        <w:rPr>
          <w:lang w:val="en-US"/>
        </w:rPr>
      </w:pPr>
      <w:r w:rsidRPr="00AD48C8">
        <w:rPr>
          <w:lang w:val="en-US"/>
        </w:rPr>
        <w:t>Performer Vocalist, Nizhny Novgorod, Russia, m.balashova@icloud.com</w:t>
      </w:r>
    </w:p>
    <w:p w:rsidR="00AD48C8" w:rsidRPr="00AD48C8" w:rsidRDefault="00AD48C8" w:rsidP="00AD48C8">
      <w:pPr>
        <w:pStyle w:val="a7"/>
        <w:rPr>
          <w:lang w:val="en-US"/>
        </w:rPr>
      </w:pPr>
      <w:r w:rsidRPr="00AD48C8">
        <w:rPr>
          <w:lang w:val="en-US"/>
        </w:rPr>
        <w:t>The article addresses the issue of shifting focus in the training of folk vocal performers from semantic content to technical aspects of performance. The author substantiates the need to develop students’ skills in figurative-semantic intonation as a key component of expressiveness in folk singing. The developed by the author methodology involves integrating text analysis, work with speech intonation, acting techniques, and stage movement into the structure of vocal training. Particular attention is given to the semantic interpretation of the lyrics, emotional "living through" of the song, and the formation of a holistic stage image.</w:t>
      </w:r>
    </w:p>
    <w:p w:rsidR="00AD48C8" w:rsidRPr="00AD48C8" w:rsidRDefault="00AD48C8" w:rsidP="00AD48C8">
      <w:pPr>
        <w:pStyle w:val="a7"/>
        <w:rPr>
          <w:lang w:val="en-US"/>
        </w:rPr>
      </w:pPr>
      <w:r w:rsidRPr="00AD48C8">
        <w:rPr>
          <w:spacing w:val="43"/>
          <w:lang w:val="en-US"/>
        </w:rPr>
        <w:t>Keywords</w:t>
      </w:r>
      <w:r w:rsidRPr="00AD48C8">
        <w:rPr>
          <w:lang w:val="en-US"/>
        </w:rPr>
        <w:t>: folk singing; figurative-semantic intonation; teaching methodology; vocal training; interdisciplinary approach; text interpretation; acting skills; stage expressiveness; speech intonation.</w:t>
      </w:r>
    </w:p>
    <w:p w:rsidR="00AD48C8" w:rsidRPr="00AD48C8" w:rsidRDefault="00AD48C8" w:rsidP="00AD48C8">
      <w:pPr>
        <w:pStyle w:val="a3"/>
        <w:rPr>
          <w:lang w:val="ru-RU"/>
        </w:rPr>
      </w:pPr>
      <w:r w:rsidRPr="00AD48C8">
        <w:rPr>
          <w:lang w:val="ru-RU"/>
        </w:rPr>
        <w:t>УДК 338.49</w:t>
      </w:r>
    </w:p>
    <w:p w:rsidR="00AD48C8" w:rsidRDefault="00AD48C8" w:rsidP="00AD48C8">
      <w:pPr>
        <w:pStyle w:val="a4"/>
      </w:pPr>
      <w:r>
        <w:t>Анализ эффективности внедрения предприятиями газового накопителя с компрессорной установкой</w:t>
      </w:r>
    </w:p>
    <w:p w:rsidR="00AD48C8" w:rsidRDefault="00AD48C8" w:rsidP="00AD48C8">
      <w:pPr>
        <w:pStyle w:val="a5"/>
      </w:pPr>
      <w:proofErr w:type="spellStart"/>
      <w:r>
        <w:t>Бородич</w:t>
      </w:r>
      <w:proofErr w:type="spellEnd"/>
      <w:r>
        <w:t xml:space="preserve"> Вадим Александрович,</w:t>
      </w:r>
    </w:p>
    <w:p w:rsidR="00AD48C8" w:rsidRDefault="00AD48C8" w:rsidP="00AD48C8">
      <w:pPr>
        <w:pStyle w:val="a6"/>
      </w:pPr>
      <w:r>
        <w:t>главный инженер, УП «</w:t>
      </w:r>
      <w:proofErr w:type="spellStart"/>
      <w:r>
        <w:t>Гроднооблгаз</w:t>
      </w:r>
      <w:proofErr w:type="spellEnd"/>
      <w:r>
        <w:t>», Гродно, Беларусь, vadim.borodich@icloud.com</w:t>
      </w:r>
    </w:p>
    <w:p w:rsidR="00AD48C8" w:rsidRDefault="00AD48C8" w:rsidP="00AD48C8">
      <w:pPr>
        <w:pStyle w:val="a7"/>
      </w:pPr>
      <w:r>
        <w:t>В статье рассматривается экономическая эффективность внедрения газового накопителя с компрессорной установкой для снижения потерь природного газа при проведении ремонтных работ на распределительных газопроводах. Актуальность темы обусловлена как экономическими издержками предприятий, так и необходимостью сокращения выбросов метана – одного из наиболее агрессивных парниковых газов. На основе анализа производственной практики, стоимости оборудования и объемов утечек газа разработана экономическая модель, включающая расчет срока окупаемости, чистой годовой экономии и чистого дисконтированного дохода. Установлено, что при интенсивной эксплуатации срок окупаемости составляет менее двух лет. Также проанализированы экологические и социальные эффекты внедрения технологии. Представлены практические рекомендации по ее применению на предприятиях газового хозяйства. Результаты исследования подтверждают высокую инвестиционную привлекательность и устойчивость проекта.</w:t>
      </w:r>
    </w:p>
    <w:p w:rsidR="00AD48C8" w:rsidRDefault="00AD48C8" w:rsidP="00AD48C8">
      <w:pPr>
        <w:pStyle w:val="a7"/>
      </w:pPr>
      <w:proofErr w:type="gramStart"/>
      <w:r>
        <w:rPr>
          <w:spacing w:val="43"/>
        </w:rPr>
        <w:t>Ключевые слова</w:t>
      </w:r>
      <w:r>
        <w:t>: газовый накопитель; компрессорная установка; технологические потери; ремонт газопроводов; срок окупаемости; метан; экономическая эффективность.</w:t>
      </w:r>
      <w:proofErr w:type="gramEnd"/>
    </w:p>
    <w:p w:rsidR="00AD48C8" w:rsidRDefault="00AD48C8" w:rsidP="00AD48C8">
      <w:pPr>
        <w:pStyle w:val="a7"/>
      </w:pPr>
    </w:p>
    <w:p w:rsidR="00AD48C8" w:rsidRPr="00AD48C8" w:rsidRDefault="00AD48C8" w:rsidP="00AD48C8">
      <w:pPr>
        <w:pStyle w:val="a8"/>
        <w:rPr>
          <w:lang w:val="en-US"/>
        </w:rPr>
      </w:pPr>
      <w:r w:rsidRPr="00AD48C8">
        <w:rPr>
          <w:lang w:val="en-US"/>
        </w:rPr>
        <w:t>Analysis of the Effectiveness of Gas Accumulator with Compressor Unit Implementation by Enterprises</w:t>
      </w:r>
    </w:p>
    <w:p w:rsidR="00AD48C8" w:rsidRPr="00AD48C8" w:rsidRDefault="00AD48C8" w:rsidP="00AD48C8">
      <w:pPr>
        <w:pStyle w:val="a9"/>
        <w:rPr>
          <w:lang w:val="en-US"/>
        </w:rPr>
      </w:pPr>
      <w:proofErr w:type="spellStart"/>
      <w:proofErr w:type="gramStart"/>
      <w:r w:rsidRPr="00AD48C8">
        <w:rPr>
          <w:lang w:val="en-US"/>
        </w:rPr>
        <w:t>Barodzich</w:t>
      </w:r>
      <w:proofErr w:type="spellEnd"/>
      <w:r w:rsidRPr="00AD48C8">
        <w:rPr>
          <w:lang w:val="en-US"/>
        </w:rPr>
        <w:t xml:space="preserve"> </w:t>
      </w:r>
      <w:proofErr w:type="spellStart"/>
      <w:r w:rsidRPr="00AD48C8">
        <w:rPr>
          <w:lang w:val="en-US"/>
        </w:rPr>
        <w:t>Vadzim</w:t>
      </w:r>
      <w:proofErr w:type="spellEnd"/>
      <w:r w:rsidRPr="00AD48C8">
        <w:rPr>
          <w:lang w:val="en-US"/>
        </w:rPr>
        <w:t xml:space="preserve"> A.,</w:t>
      </w:r>
      <w:proofErr w:type="gramEnd"/>
      <w:r w:rsidRPr="00AD48C8">
        <w:rPr>
          <w:lang w:val="en-US"/>
        </w:rPr>
        <w:t xml:space="preserve"> </w:t>
      </w:r>
    </w:p>
    <w:p w:rsidR="00AD48C8" w:rsidRPr="00AD48C8" w:rsidRDefault="00AD48C8" w:rsidP="00AD48C8">
      <w:pPr>
        <w:pStyle w:val="aa"/>
        <w:rPr>
          <w:lang w:val="en-US"/>
        </w:rPr>
      </w:pPr>
      <w:r w:rsidRPr="00AD48C8">
        <w:rPr>
          <w:lang w:val="en-US"/>
        </w:rPr>
        <w:t xml:space="preserve">Chief Engineer, UE </w:t>
      </w:r>
      <w:proofErr w:type="spellStart"/>
      <w:r w:rsidRPr="00AD48C8">
        <w:rPr>
          <w:lang w:val="en-US"/>
        </w:rPr>
        <w:t>Grodnooblgaz</w:t>
      </w:r>
      <w:proofErr w:type="spellEnd"/>
      <w:r w:rsidRPr="00AD48C8">
        <w:rPr>
          <w:lang w:val="en-US"/>
        </w:rPr>
        <w:t>, Grodno, Belarus, vadim.borodich@icloud.com</w:t>
      </w:r>
    </w:p>
    <w:p w:rsidR="00AD48C8" w:rsidRPr="00AD48C8" w:rsidRDefault="00AD48C8" w:rsidP="00AD48C8">
      <w:pPr>
        <w:pStyle w:val="a7"/>
        <w:rPr>
          <w:lang w:val="en-US"/>
        </w:rPr>
      </w:pPr>
      <w:r w:rsidRPr="00AD48C8">
        <w:rPr>
          <w:lang w:val="en-US"/>
        </w:rPr>
        <w:t xml:space="preserve">This article examines the economic efficiency of implementing a gas accumulator with a compressor unit to reduce natural gas losses during maintenance work on distribution pipelines. The relevance of the topic is driven both by the economic costs incurred by enterprises and the need to reduce methane emissions—one of the most potent greenhouse gases. Based on an analysis of operational practices, equipment costs, and gas leakage volumes, an economic model was developed that includes calculations of payback period, annual net savings, and net present value. The study found that with intensive use, the payback period is less than two years. The environmental and social impacts of the technology’s implementation are also analyzed. Practical recommendations are provided for its </w:t>
      </w:r>
      <w:r w:rsidRPr="00AD48C8">
        <w:rPr>
          <w:lang w:val="en-US"/>
        </w:rPr>
        <w:lastRenderedPageBreak/>
        <w:t>deployment at gas infrastructure enterprises. The results confirm the high investment appeal and resilience of the project.</w:t>
      </w:r>
    </w:p>
    <w:p w:rsidR="00AD48C8" w:rsidRPr="00AD48C8" w:rsidRDefault="00AD48C8" w:rsidP="00AD48C8">
      <w:pPr>
        <w:pStyle w:val="a7"/>
        <w:rPr>
          <w:lang w:val="en-US"/>
        </w:rPr>
      </w:pPr>
      <w:r w:rsidRPr="00AD48C8">
        <w:rPr>
          <w:spacing w:val="43"/>
          <w:lang w:val="en-US"/>
        </w:rPr>
        <w:t>Keywords</w:t>
      </w:r>
      <w:r w:rsidRPr="00AD48C8">
        <w:rPr>
          <w:lang w:val="en-US"/>
        </w:rPr>
        <w:t>: gas accumulator; compressor unit; technological losses; pipeline maintenance; payback period; methane; economic efficiency.</w:t>
      </w:r>
    </w:p>
    <w:p w:rsidR="00AD48C8" w:rsidRPr="00AD48C8" w:rsidRDefault="00AD48C8" w:rsidP="00AD48C8">
      <w:pPr>
        <w:pStyle w:val="a3"/>
        <w:rPr>
          <w:lang w:val="ru-RU"/>
        </w:rPr>
      </w:pPr>
      <w:r w:rsidRPr="00AD48C8">
        <w:rPr>
          <w:lang w:val="ru-RU"/>
        </w:rPr>
        <w:t>УДК 338</w:t>
      </w:r>
    </w:p>
    <w:p w:rsidR="00AD48C8" w:rsidRDefault="00AD48C8" w:rsidP="00AD48C8">
      <w:pPr>
        <w:pStyle w:val="a4"/>
      </w:pPr>
      <w:r>
        <w:t xml:space="preserve">Проблематика определения конкуренции </w:t>
      </w:r>
      <w:r>
        <w:br/>
        <w:t>в морских портах и контейнерных терминалах</w:t>
      </w:r>
    </w:p>
    <w:p w:rsidR="00AD48C8" w:rsidRDefault="00AD48C8" w:rsidP="00AD48C8">
      <w:pPr>
        <w:pStyle w:val="a5"/>
      </w:pPr>
      <w:proofErr w:type="spellStart"/>
      <w:r>
        <w:t>Бутрим</w:t>
      </w:r>
      <w:proofErr w:type="spellEnd"/>
      <w:r>
        <w:t xml:space="preserve"> Алина Олеговна,</w:t>
      </w:r>
    </w:p>
    <w:p w:rsidR="00AD48C8" w:rsidRDefault="00AD48C8" w:rsidP="00AD48C8">
      <w:pPr>
        <w:pStyle w:val="a6"/>
      </w:pPr>
      <w:r>
        <w:t>директор по правовому обеспечению, АО «Контейнерный терминал Санкт-Петербург», Санкт-Петербург, Россия, a.butrim4122@gmail.com</w:t>
      </w:r>
    </w:p>
    <w:p w:rsidR="00AD48C8" w:rsidRDefault="00AD48C8" w:rsidP="00AD48C8">
      <w:pPr>
        <w:pStyle w:val="a7"/>
      </w:pPr>
      <w:r>
        <w:t>В статье рассматриваются методологические проблемы, возникающие при определении доминирующего положения в инфраструктурных отраслях, на примере дел Федеральной антимонопольной службы (ФАС) в отношении операторов морских портов и контейнерных терминалов. Автор критикует избыточную опору ФАС на долевой критерий, обосновывая необходимость перех</w:t>
      </w:r>
      <w:bookmarkStart w:id="0" w:name="_GoBack"/>
      <w:bookmarkEnd w:id="0"/>
      <w:r>
        <w:t>ода к поведенческому анализу, адаптированному под особенности логистики и портовой инфраструктуры. Приводятся сравнительные данные из международной и российской судебной практики, а также обобщаются выводы ведущих исследователей по данной теме. В работе предлагается перечень конкретных мер по реформированию подходов ФАС к оценке конкуренции.</w:t>
      </w:r>
    </w:p>
    <w:p w:rsidR="00AD48C8" w:rsidRDefault="00AD48C8" w:rsidP="00AD48C8">
      <w:pPr>
        <w:pStyle w:val="a7"/>
      </w:pPr>
      <w:proofErr w:type="gramStart"/>
      <w:r>
        <w:rPr>
          <w:spacing w:val="43"/>
        </w:rPr>
        <w:t>Ключевые слова</w:t>
      </w:r>
      <w:r>
        <w:t>: конкуренция; стивидорные услуги; портовая инфраструктура; доминирующее положение; антимонопольное регулирование; ФАС; инфраструктурные рынки.</w:t>
      </w:r>
      <w:proofErr w:type="gramEnd"/>
    </w:p>
    <w:p w:rsidR="00AD48C8" w:rsidRDefault="00AD48C8" w:rsidP="00AD48C8">
      <w:pPr>
        <w:pStyle w:val="a7"/>
      </w:pPr>
    </w:p>
    <w:p w:rsidR="00AD48C8" w:rsidRPr="00AD48C8" w:rsidRDefault="00AD48C8" w:rsidP="00AD48C8">
      <w:pPr>
        <w:pStyle w:val="a8"/>
        <w:rPr>
          <w:lang w:val="en-US"/>
        </w:rPr>
      </w:pPr>
      <w:r w:rsidRPr="00AD48C8">
        <w:rPr>
          <w:lang w:val="en-US"/>
        </w:rPr>
        <w:t xml:space="preserve">Challenges in Defining Competition </w:t>
      </w:r>
      <w:r w:rsidRPr="00AD48C8">
        <w:rPr>
          <w:lang w:val="en-US"/>
        </w:rPr>
        <w:br/>
        <w:t>in Seaports and Container Terminals</w:t>
      </w:r>
    </w:p>
    <w:p w:rsidR="00AD48C8" w:rsidRPr="00AD48C8" w:rsidRDefault="00AD48C8" w:rsidP="00AD48C8">
      <w:pPr>
        <w:pStyle w:val="a9"/>
        <w:rPr>
          <w:lang w:val="en-US"/>
        </w:rPr>
      </w:pPr>
      <w:proofErr w:type="spellStart"/>
      <w:proofErr w:type="gramStart"/>
      <w:r w:rsidRPr="00AD48C8">
        <w:rPr>
          <w:lang w:val="en-US"/>
        </w:rPr>
        <w:t>Butrim</w:t>
      </w:r>
      <w:proofErr w:type="spellEnd"/>
      <w:r w:rsidRPr="00AD48C8">
        <w:rPr>
          <w:lang w:val="en-US"/>
        </w:rPr>
        <w:t xml:space="preserve"> </w:t>
      </w:r>
      <w:proofErr w:type="spellStart"/>
      <w:r w:rsidRPr="00AD48C8">
        <w:rPr>
          <w:lang w:val="en-US"/>
        </w:rPr>
        <w:t>Alina</w:t>
      </w:r>
      <w:proofErr w:type="spellEnd"/>
      <w:r w:rsidRPr="00AD48C8">
        <w:rPr>
          <w:lang w:val="en-US"/>
        </w:rPr>
        <w:t xml:space="preserve"> O.,</w:t>
      </w:r>
      <w:proofErr w:type="gramEnd"/>
    </w:p>
    <w:p w:rsidR="00AD48C8" w:rsidRPr="00AD48C8" w:rsidRDefault="00AD48C8" w:rsidP="00AD48C8">
      <w:pPr>
        <w:pStyle w:val="aa"/>
        <w:rPr>
          <w:lang w:val="en-US"/>
        </w:rPr>
      </w:pPr>
      <w:r w:rsidRPr="00AD48C8">
        <w:rPr>
          <w:lang w:val="en-US"/>
        </w:rPr>
        <w:t>Head of Legal Support, Saint Petersburg Container Terminal JSC, Saint Petersburg, Russia, a.butrim4122@gmail.com</w:t>
      </w:r>
    </w:p>
    <w:p w:rsidR="00AD48C8" w:rsidRPr="00AD48C8" w:rsidRDefault="00AD48C8" w:rsidP="00AD48C8">
      <w:pPr>
        <w:pStyle w:val="a7"/>
        <w:rPr>
          <w:lang w:val="en-US"/>
        </w:rPr>
      </w:pPr>
      <w:r w:rsidRPr="00AD48C8">
        <w:rPr>
          <w:lang w:val="en-US"/>
        </w:rPr>
        <w:t>This article examines methodological challenges in defining a dominant position in infrastructure sectors, using cases from the Federal Antimonopoly Service (FAS) related to seaport and container terminal operators. The author critiques the FAS's overreliance on market share indicators, advocating instead for a behavioral analysis tailored to the logistics and port infrastructure specifics. The paper compares international and Russian legal practices and synthesizes conclusions from leading academic research. A set of concrete recommendations for reforming FAS approaches to market competition assessment is proposed.</w:t>
      </w:r>
    </w:p>
    <w:p w:rsidR="00AD48C8" w:rsidRPr="00AD48C8" w:rsidRDefault="00AD48C8" w:rsidP="00AD48C8">
      <w:pPr>
        <w:pStyle w:val="a7"/>
        <w:rPr>
          <w:lang w:val="en-US"/>
        </w:rPr>
      </w:pPr>
      <w:r w:rsidRPr="00AD48C8">
        <w:rPr>
          <w:spacing w:val="43"/>
          <w:lang w:val="en-US"/>
        </w:rPr>
        <w:t>Keywords</w:t>
      </w:r>
      <w:r w:rsidRPr="00AD48C8">
        <w:rPr>
          <w:lang w:val="en-US"/>
        </w:rPr>
        <w:t>: competition; stevedoring services; port infrastructure; market dominance; antitrust enforcement; FAS; infrastructure markets.</w:t>
      </w:r>
    </w:p>
    <w:p w:rsidR="00AD48C8" w:rsidRPr="00AD48C8" w:rsidRDefault="00AD48C8" w:rsidP="00AD48C8">
      <w:pPr>
        <w:pStyle w:val="a3"/>
        <w:rPr>
          <w:lang w:val="ru-RU"/>
        </w:rPr>
      </w:pPr>
      <w:r w:rsidRPr="00AD48C8">
        <w:rPr>
          <w:lang w:val="ru-RU"/>
        </w:rPr>
        <w:t>УДК 330</w:t>
      </w:r>
    </w:p>
    <w:p w:rsidR="00AD48C8" w:rsidRDefault="00AD48C8" w:rsidP="00AD48C8">
      <w:pPr>
        <w:pStyle w:val="a4"/>
      </w:pPr>
      <w:r>
        <w:t xml:space="preserve">Мобилизационная экономика в условиях санкционного давления  </w:t>
      </w:r>
    </w:p>
    <w:p w:rsidR="00AD48C8" w:rsidRDefault="00AD48C8" w:rsidP="00AD48C8">
      <w:pPr>
        <w:pStyle w:val="a5"/>
      </w:pPr>
      <w:r>
        <w:t>Епифанов Владислав Вячеславович,</w:t>
      </w:r>
    </w:p>
    <w:p w:rsidR="00AD48C8" w:rsidRDefault="00AD48C8" w:rsidP="00AD48C8">
      <w:pPr>
        <w:pStyle w:val="a6"/>
      </w:pPr>
      <w:r>
        <w:t>соискатель, ФГБНУ «Аналитический центр», epifanov.cao@mail.ru</w:t>
      </w:r>
    </w:p>
    <w:p w:rsidR="00AD48C8" w:rsidRDefault="00AD48C8" w:rsidP="00AD48C8">
      <w:pPr>
        <w:pStyle w:val="a7"/>
      </w:pPr>
      <w:r>
        <w:t>Статья посвящена анализу модели мобилизационной экономики как инструмента обеспечения экономической и военной безопасности Российской Федерации в условиях усиленного санкционного давления и гибридных войн. Рассматриваются исторические предпосылки и современные вызовы, связанные с зависимостью экономики от внешних поставок, утратой технологического суверенитета и снижением конкурентоспособности высокотехнологичных отраслей. Автор обосновывает необходимость корректировки действующей экспортно-ориентированной модели, предлагая мягкую модель мобилизационной экономики, основанную на централизованном перераспределении ресурсов, усилении государственного контроля и рационализации производственных процессов. Особое внимание уделяется роли управленческих механизмов и административных методов в создании условий для устойчивого роста, модернизации промышленности и обеспечения стратегических приоритетов государства.</w:t>
      </w:r>
    </w:p>
    <w:p w:rsidR="00AD48C8" w:rsidRDefault="00AD48C8" w:rsidP="00AD48C8">
      <w:pPr>
        <w:pStyle w:val="a7"/>
      </w:pPr>
      <w:r>
        <w:rPr>
          <w:spacing w:val="43"/>
        </w:rPr>
        <w:lastRenderedPageBreak/>
        <w:t>Ключевые слова</w:t>
      </w:r>
      <w:r>
        <w:t>: мобилизационная экономика; санкционное давление; гибридная война; технологический суверенитет.</w:t>
      </w:r>
    </w:p>
    <w:p w:rsidR="00AD48C8" w:rsidRDefault="00AD48C8" w:rsidP="00AD48C8">
      <w:pPr>
        <w:pStyle w:val="a7"/>
      </w:pPr>
    </w:p>
    <w:p w:rsidR="00AD48C8" w:rsidRPr="00AD48C8" w:rsidRDefault="00AD48C8" w:rsidP="00AD48C8">
      <w:pPr>
        <w:pStyle w:val="a8"/>
        <w:rPr>
          <w:lang w:val="en-US"/>
        </w:rPr>
      </w:pPr>
      <w:r w:rsidRPr="00AD48C8">
        <w:rPr>
          <w:lang w:val="en-US"/>
        </w:rPr>
        <w:t>Mobilization economy under sanctions pressure</w:t>
      </w:r>
    </w:p>
    <w:p w:rsidR="00AD48C8" w:rsidRPr="00AD48C8" w:rsidRDefault="00AD48C8" w:rsidP="00AD48C8">
      <w:pPr>
        <w:pStyle w:val="a9"/>
        <w:rPr>
          <w:lang w:val="en-US"/>
        </w:rPr>
      </w:pPr>
      <w:proofErr w:type="spellStart"/>
      <w:r w:rsidRPr="00AD48C8">
        <w:rPr>
          <w:lang w:val="en-US"/>
        </w:rPr>
        <w:t>Epifanov</w:t>
      </w:r>
      <w:proofErr w:type="spellEnd"/>
      <w:r w:rsidRPr="00AD48C8">
        <w:rPr>
          <w:lang w:val="en-US"/>
        </w:rPr>
        <w:t xml:space="preserve"> </w:t>
      </w:r>
      <w:proofErr w:type="spellStart"/>
      <w:r w:rsidRPr="00AD48C8">
        <w:rPr>
          <w:lang w:val="en-US"/>
        </w:rPr>
        <w:t>Vladislav</w:t>
      </w:r>
      <w:proofErr w:type="spellEnd"/>
      <w:r w:rsidRPr="00AD48C8">
        <w:rPr>
          <w:lang w:val="en-US"/>
        </w:rPr>
        <w:t xml:space="preserve"> V., </w:t>
      </w:r>
    </w:p>
    <w:p w:rsidR="00AD48C8" w:rsidRPr="00AD48C8" w:rsidRDefault="00AD48C8" w:rsidP="00AD48C8">
      <w:pPr>
        <w:pStyle w:val="aa"/>
        <w:rPr>
          <w:lang w:val="en-US"/>
        </w:rPr>
      </w:pPr>
      <w:r w:rsidRPr="00AD48C8">
        <w:rPr>
          <w:lang w:val="en-US"/>
        </w:rPr>
        <w:t>The applicant, FSBSI "Analytical Center", epifanov.cao@mail.ru</w:t>
      </w:r>
    </w:p>
    <w:p w:rsidR="00AD48C8" w:rsidRPr="00AD48C8" w:rsidRDefault="00AD48C8" w:rsidP="00AD48C8">
      <w:pPr>
        <w:pStyle w:val="a7"/>
        <w:rPr>
          <w:lang w:val="en-US"/>
        </w:rPr>
      </w:pPr>
      <w:r w:rsidRPr="00AD48C8">
        <w:rPr>
          <w:lang w:val="en-US"/>
        </w:rPr>
        <w:t>The article examines the mobilization economy model as a tool for ensuring the economic and military security of the Russian Federation under conditions of intensified sanctions pressure and hybrid warfare. It discusses historical prerequisites and modern challenges associated with dependency on external supplies, loss of technological sovereignty, and a decline in the competitiveness of high-tech sectors. The author substantiates the need to adjust the current export-oriented model by proposing a “soft mobilization economy” approach based on centralized resource redistribution, enhanced state oversight, and production process rationalization. Special emphasis is placed on the role of managerial mechanisms and administrative methods in creating conditions for sustainable growth, industrial modernization, and fulfilling the strategic priorities of the state.</w:t>
      </w:r>
    </w:p>
    <w:p w:rsidR="00AD48C8" w:rsidRPr="00AD48C8" w:rsidRDefault="00AD48C8" w:rsidP="00AD48C8">
      <w:pPr>
        <w:pStyle w:val="a7"/>
        <w:rPr>
          <w:lang w:val="en-US"/>
        </w:rPr>
      </w:pPr>
      <w:r w:rsidRPr="00AD48C8">
        <w:rPr>
          <w:spacing w:val="43"/>
          <w:lang w:val="en-US"/>
        </w:rPr>
        <w:t>Keywords</w:t>
      </w:r>
      <w:r w:rsidRPr="00AD48C8">
        <w:rPr>
          <w:lang w:val="en-US"/>
        </w:rPr>
        <w:t>: mobilization economy; sanctions pressure; hybrid warfare; technological sovereignty.</w:t>
      </w:r>
    </w:p>
    <w:p w:rsidR="00AD48C8" w:rsidRPr="00AD48C8" w:rsidRDefault="00AD48C8" w:rsidP="00AD48C8">
      <w:pPr>
        <w:pStyle w:val="a3"/>
        <w:rPr>
          <w:lang w:val="ru-RU"/>
        </w:rPr>
      </w:pPr>
      <w:r w:rsidRPr="00AD48C8">
        <w:rPr>
          <w:lang w:val="ru-RU"/>
        </w:rPr>
        <w:t>УДК 338:69.003</w:t>
      </w:r>
    </w:p>
    <w:p w:rsidR="00AD48C8" w:rsidRDefault="00AD48C8" w:rsidP="00AD48C8">
      <w:pPr>
        <w:pStyle w:val="a4"/>
      </w:pPr>
      <w:r>
        <w:t>Экономические аспекты проектирования жилых комплексов в районах исторической застройки</w:t>
      </w:r>
    </w:p>
    <w:p w:rsidR="00AD48C8" w:rsidRDefault="00AD48C8" w:rsidP="00AD48C8">
      <w:pPr>
        <w:pStyle w:val="a5"/>
      </w:pPr>
      <w:proofErr w:type="spellStart"/>
      <w:r>
        <w:t>Жилкин</w:t>
      </w:r>
      <w:proofErr w:type="spellEnd"/>
      <w:r>
        <w:t xml:space="preserve"> Илья Леонидович,</w:t>
      </w:r>
    </w:p>
    <w:p w:rsidR="00AD48C8" w:rsidRDefault="00AD48C8" w:rsidP="00AD48C8">
      <w:pPr>
        <w:pStyle w:val="a6"/>
      </w:pPr>
      <w:r>
        <w:t xml:space="preserve">генеральный директор, ООО «Правовой альянс», Владимир, Россия, </w:t>
      </w:r>
      <w:r>
        <w:br/>
        <w:t>ilya.ves@mail.ru</w:t>
      </w:r>
    </w:p>
    <w:p w:rsidR="00AD48C8" w:rsidRDefault="00AD48C8" w:rsidP="00AD48C8">
      <w:pPr>
        <w:pStyle w:val="a7"/>
      </w:pPr>
      <w:r>
        <w:t>В статье рассматриваются экономические аспекты проектирования жилых комплексов в районах исторической застройки, находящихся под охраной государства или муниципалитетов. Проанализированы факторы, влияющие на увеличение затрат на проектирование, согласование и строительство в условиях архитектурных и градостроительных ограничений. Исследование опирается на российский и зарубежный опыт, включая практики Франции, Германии, Великобритании и Испании. Особое внимание уделено необходимости балансировки интересов инвесторов, требований по сохранению культурного наследия и стратегий устойчивого развития городской среды. Предложены рекомендации по повышению экономической эффективности таких проектов, включая налоговые стимулы, субсидии, цифровизацию процессов согласования и вовлечение местных сообществ.</w:t>
      </w:r>
    </w:p>
    <w:p w:rsidR="00AD48C8" w:rsidRDefault="00AD48C8" w:rsidP="00AD48C8">
      <w:pPr>
        <w:pStyle w:val="a7"/>
      </w:pPr>
      <w:r>
        <w:rPr>
          <w:spacing w:val="43"/>
        </w:rPr>
        <w:t>Ключевые слова:</w:t>
      </w:r>
      <w:r>
        <w:t xml:space="preserve"> историческая застройка; градостроительство; экономическая эффективность; проектирование; архитектурные ограничения; культурное наследие; </w:t>
      </w:r>
      <w:proofErr w:type="spellStart"/>
      <w:r>
        <w:t>урбанистика</w:t>
      </w:r>
      <w:proofErr w:type="spellEnd"/>
      <w:r>
        <w:t>.</w:t>
      </w:r>
    </w:p>
    <w:p w:rsidR="00AD48C8" w:rsidRDefault="00AD48C8" w:rsidP="00AD48C8">
      <w:pPr>
        <w:pStyle w:val="a7"/>
      </w:pPr>
    </w:p>
    <w:p w:rsidR="00AD48C8" w:rsidRPr="00AD48C8" w:rsidRDefault="00AD48C8" w:rsidP="00AD48C8">
      <w:pPr>
        <w:pStyle w:val="a8"/>
        <w:rPr>
          <w:lang w:val="en-US"/>
        </w:rPr>
      </w:pPr>
      <w:r w:rsidRPr="00AD48C8">
        <w:rPr>
          <w:lang w:val="en-US"/>
        </w:rPr>
        <w:t>Economic Aspects of Designing Residential Complexes in Historic Development Areas</w:t>
      </w:r>
    </w:p>
    <w:p w:rsidR="00AD48C8" w:rsidRPr="00AD48C8" w:rsidRDefault="00AD48C8" w:rsidP="00AD48C8">
      <w:pPr>
        <w:pStyle w:val="a9"/>
        <w:rPr>
          <w:lang w:val="en-US"/>
        </w:rPr>
      </w:pPr>
      <w:proofErr w:type="spellStart"/>
      <w:r w:rsidRPr="00AD48C8">
        <w:rPr>
          <w:lang w:val="en-US"/>
        </w:rPr>
        <w:t>Zhilkin</w:t>
      </w:r>
      <w:proofErr w:type="spellEnd"/>
      <w:r w:rsidRPr="00AD48C8">
        <w:rPr>
          <w:lang w:val="en-US"/>
        </w:rPr>
        <w:t xml:space="preserve"> </w:t>
      </w:r>
      <w:proofErr w:type="spellStart"/>
      <w:r w:rsidRPr="00AD48C8">
        <w:rPr>
          <w:lang w:val="en-US"/>
        </w:rPr>
        <w:t>Ilya</w:t>
      </w:r>
      <w:proofErr w:type="spellEnd"/>
      <w:r w:rsidRPr="00AD48C8">
        <w:rPr>
          <w:lang w:val="en-US"/>
        </w:rPr>
        <w:t xml:space="preserve"> L., </w:t>
      </w:r>
    </w:p>
    <w:p w:rsidR="00AD48C8" w:rsidRPr="00AD48C8" w:rsidRDefault="00AD48C8" w:rsidP="00AD48C8">
      <w:pPr>
        <w:pStyle w:val="aa"/>
        <w:rPr>
          <w:lang w:val="en-US"/>
        </w:rPr>
      </w:pPr>
      <w:r w:rsidRPr="00AD48C8">
        <w:rPr>
          <w:lang w:val="en-US"/>
        </w:rPr>
        <w:t>CEO, “Legal Alliance” LLC, Vladimir, Russia, ilya.ves@mail.ru</w:t>
      </w:r>
    </w:p>
    <w:p w:rsidR="00AD48C8" w:rsidRPr="00AD48C8" w:rsidRDefault="00AD48C8" w:rsidP="00AD48C8">
      <w:pPr>
        <w:pStyle w:val="a7"/>
        <w:rPr>
          <w:lang w:val="en-US"/>
        </w:rPr>
      </w:pPr>
      <w:r w:rsidRPr="00AD48C8">
        <w:rPr>
          <w:lang w:val="en-US"/>
        </w:rPr>
        <w:t>The article examines the economic aspects of designing residential complexes in historically significant areas protected by state or municipal regulations. It analyzes key cost-increasing factors related to architectural and urban planning restrictions, including expenses for design, approvals, and construction. The study draws on both Russian and international experience, referencing best practices from France, Germany, the United Kingdom, and Spain. Particular attention is paid to balancing investor interests, cultural heritage preservation requirements, and strategies for sustainable urban development. The paper offers recommendations to improve economic efficiency in historic districts through tax incentives, subsidies, digitalization of planning and permitting processes, and active involvement of local communities.</w:t>
      </w:r>
    </w:p>
    <w:p w:rsidR="00AD48C8" w:rsidRPr="00AD48C8" w:rsidRDefault="00AD48C8" w:rsidP="00AD48C8">
      <w:pPr>
        <w:pStyle w:val="a7"/>
        <w:rPr>
          <w:lang w:val="en-US"/>
        </w:rPr>
      </w:pPr>
      <w:r w:rsidRPr="00AD48C8">
        <w:rPr>
          <w:spacing w:val="43"/>
          <w:lang w:val="en-US"/>
        </w:rPr>
        <w:t>Keywords</w:t>
      </w:r>
      <w:r w:rsidRPr="00AD48C8">
        <w:rPr>
          <w:lang w:val="en-US"/>
        </w:rPr>
        <w:t>: historic development; urban planning; economic efficiency; architectural design; architectural constraints; cultural heritage; urban studies.</w:t>
      </w:r>
    </w:p>
    <w:p w:rsidR="00AD48C8" w:rsidRPr="00AD48C8" w:rsidRDefault="00AD48C8" w:rsidP="00AD48C8">
      <w:pPr>
        <w:pStyle w:val="a3"/>
        <w:rPr>
          <w:lang w:val="ru-RU"/>
        </w:rPr>
      </w:pPr>
      <w:r w:rsidRPr="00AD48C8">
        <w:rPr>
          <w:lang w:val="ru-RU"/>
        </w:rPr>
        <w:t xml:space="preserve">УДК 336.64 </w:t>
      </w:r>
    </w:p>
    <w:p w:rsidR="00AD48C8" w:rsidRDefault="00AD48C8" w:rsidP="00AD48C8">
      <w:pPr>
        <w:pStyle w:val="a4"/>
      </w:pPr>
      <w:r>
        <w:lastRenderedPageBreak/>
        <w:t xml:space="preserve">Методика </w:t>
      </w:r>
      <w:proofErr w:type="gramStart"/>
      <w:r>
        <w:t>многофакторного</w:t>
      </w:r>
      <w:proofErr w:type="gramEnd"/>
      <w:r>
        <w:t xml:space="preserve"> стресс-тестирования при оценке рисков инвестиционных проектов</w:t>
      </w:r>
    </w:p>
    <w:p w:rsidR="00AD48C8" w:rsidRDefault="00AD48C8" w:rsidP="00AD48C8">
      <w:pPr>
        <w:pStyle w:val="a5"/>
      </w:pPr>
      <w:r>
        <w:t xml:space="preserve">Исаев Тимур </w:t>
      </w:r>
      <w:proofErr w:type="spellStart"/>
      <w:r>
        <w:t>Эминович</w:t>
      </w:r>
      <w:proofErr w:type="spellEnd"/>
      <w:r>
        <w:t>,</w:t>
      </w:r>
    </w:p>
    <w:p w:rsidR="00AD48C8" w:rsidRDefault="00AD48C8" w:rsidP="00AD48C8">
      <w:pPr>
        <w:pStyle w:val="a6"/>
      </w:pPr>
      <w:r>
        <w:t>независимый финансовый аналитик, Москва, Россия, the95fm@gmail.com</w:t>
      </w:r>
    </w:p>
    <w:p w:rsidR="00AD48C8" w:rsidRDefault="00AD48C8" w:rsidP="00AD48C8">
      <w:pPr>
        <w:pStyle w:val="a7"/>
      </w:pPr>
      <w:r>
        <w:t xml:space="preserve">В статье представлена авторская методика </w:t>
      </w:r>
      <w:proofErr w:type="gramStart"/>
      <w:r>
        <w:t>многофакторного</w:t>
      </w:r>
      <w:proofErr w:type="gramEnd"/>
      <w:r>
        <w:t xml:space="preserve"> стресс-тестирования, предназначенная для оценки рисков инвестиционных проектов в условиях высокой внешней и внутренней неопределенности. Методика охватывает пять ключевых направлений анализа: энергетическую эффективность, климатические факторы, цифровую трансформацию, внешнеэкономическую нестабильность и геополитические риски. Теоретико-методологическая основа подхода базируется на сценарном анализе с параметризацией предельных значений показателей. Применение методики позволяет проводить комплексную оценку устойчивости инвестиционных решений, уточнять финансовые параметры проектов и формировать эффективные сценарии адаптации к негативным воздействиям. Анализ международного опыта демонстрирует соответствие разработанного подхода современным глобальным тенденциям в области инвестиционного анализа. Практическая реализация методики подтверждена примерами использования в проектах малого и среднего бизнеса. Полученные результаты подтверждают прикладную ценность предложенного инструментария для повышения устойчивости и инвестиционной привлекательности проектов в условиях </w:t>
      </w:r>
      <w:proofErr w:type="spellStart"/>
      <w:r>
        <w:t>постпандемийной</w:t>
      </w:r>
      <w:proofErr w:type="spellEnd"/>
      <w:r>
        <w:t xml:space="preserve"> трансформации экономики.</w:t>
      </w:r>
    </w:p>
    <w:p w:rsidR="00AD48C8" w:rsidRDefault="00AD48C8" w:rsidP="00AD48C8">
      <w:pPr>
        <w:pStyle w:val="a7"/>
      </w:pPr>
      <w:r>
        <w:rPr>
          <w:spacing w:val="43"/>
        </w:rPr>
        <w:t>Ключевые слова:</w:t>
      </w:r>
      <w:r>
        <w:t xml:space="preserve"> инвестиционный проект; стресс-тестирование; оценка рисков; устойчивость; сценарный анализ; макроэкономическая нестабильность.</w:t>
      </w:r>
    </w:p>
    <w:p w:rsidR="00AD48C8" w:rsidRDefault="00AD48C8" w:rsidP="00AD48C8">
      <w:pPr>
        <w:pStyle w:val="a7"/>
      </w:pPr>
    </w:p>
    <w:p w:rsidR="00AD48C8" w:rsidRPr="00AD48C8" w:rsidRDefault="00AD48C8" w:rsidP="00AD48C8">
      <w:pPr>
        <w:pStyle w:val="a8"/>
        <w:rPr>
          <w:lang w:val="en-US"/>
        </w:rPr>
      </w:pPr>
      <w:r w:rsidRPr="00AD48C8">
        <w:rPr>
          <w:lang w:val="en-US"/>
        </w:rPr>
        <w:t xml:space="preserve">Methodology of multifactor stress testing </w:t>
      </w:r>
      <w:r w:rsidRPr="00AD48C8">
        <w:rPr>
          <w:lang w:val="en-US"/>
        </w:rPr>
        <w:br/>
        <w:t>in investment risk assessment</w:t>
      </w:r>
    </w:p>
    <w:p w:rsidR="00AD48C8" w:rsidRPr="00AD48C8" w:rsidRDefault="00AD48C8" w:rsidP="00AD48C8">
      <w:pPr>
        <w:pStyle w:val="a9"/>
        <w:rPr>
          <w:lang w:val="en-US"/>
        </w:rPr>
      </w:pPr>
      <w:proofErr w:type="spellStart"/>
      <w:r w:rsidRPr="00AD48C8">
        <w:rPr>
          <w:lang w:val="en-US"/>
        </w:rPr>
        <w:t>Isaev</w:t>
      </w:r>
      <w:proofErr w:type="spellEnd"/>
      <w:r w:rsidRPr="00AD48C8">
        <w:rPr>
          <w:lang w:val="en-US"/>
        </w:rPr>
        <w:t xml:space="preserve"> </w:t>
      </w:r>
      <w:proofErr w:type="spellStart"/>
      <w:r w:rsidRPr="00AD48C8">
        <w:rPr>
          <w:lang w:val="en-US"/>
        </w:rPr>
        <w:t>Timur</w:t>
      </w:r>
      <w:proofErr w:type="spellEnd"/>
      <w:r w:rsidRPr="00AD48C8">
        <w:rPr>
          <w:lang w:val="en-US"/>
        </w:rPr>
        <w:t xml:space="preserve"> E.,</w:t>
      </w:r>
    </w:p>
    <w:p w:rsidR="00AD48C8" w:rsidRPr="00AD48C8" w:rsidRDefault="00AD48C8" w:rsidP="00AD48C8">
      <w:pPr>
        <w:pStyle w:val="aa"/>
        <w:rPr>
          <w:lang w:val="en-US"/>
        </w:rPr>
      </w:pPr>
      <w:r w:rsidRPr="00AD48C8">
        <w:rPr>
          <w:lang w:val="en-US"/>
        </w:rPr>
        <w:t>Independent Financial Analyst, Moscow, Russia, the95fm@gmail.com</w:t>
      </w:r>
    </w:p>
    <w:p w:rsidR="00AD48C8" w:rsidRPr="00AD48C8" w:rsidRDefault="00AD48C8" w:rsidP="00AD48C8">
      <w:pPr>
        <w:pStyle w:val="a7"/>
        <w:rPr>
          <w:lang w:val="en-US"/>
        </w:rPr>
      </w:pPr>
      <w:r w:rsidRPr="00AD48C8">
        <w:rPr>
          <w:lang w:val="en-US"/>
        </w:rPr>
        <w:t>The article presents an original methodology for multifactor stress testing aimed at assessing risks of investment projects under conditions of high external and internal uncertainty. The methodology covers five key areas of analysis: energy efficiency, climate factors, digital transformation, external economic instability, and geopolitical risks. The theoretical and methodological framework is based on scenario analysis with parameterization of threshold indicator values. The application of the methodology enables comprehensive assessment of project resilience, adjustment of financial parameters, and development of justified adaptation scenarios under adverse conditions. Analysis of international experience demonstrates the consistency of the proposed approach with current global trends in investment analysis. Practical implementation is confirmed by case studies from small and medium-sized business projects. The results highlight the practical value of the proposed toolkit for enhancing the resilience and investment attractiveness of projects in the context of the post-pandemic economic transformation.</w:t>
      </w:r>
    </w:p>
    <w:p w:rsidR="00AD48C8" w:rsidRPr="00AD48C8" w:rsidRDefault="00AD48C8" w:rsidP="00AD48C8">
      <w:pPr>
        <w:pStyle w:val="a7"/>
        <w:rPr>
          <w:lang w:val="en-US"/>
        </w:rPr>
      </w:pPr>
      <w:r w:rsidRPr="00AD48C8">
        <w:rPr>
          <w:spacing w:val="43"/>
          <w:lang w:val="en-US"/>
        </w:rPr>
        <w:t>Keywords</w:t>
      </w:r>
      <w:r w:rsidRPr="00AD48C8">
        <w:rPr>
          <w:lang w:val="en-US"/>
        </w:rPr>
        <w:t>: investment project; stress testing; risk assessment; resilience; scenario analysis; macroeconomic instability.</w:t>
      </w:r>
    </w:p>
    <w:p w:rsidR="00AD48C8" w:rsidRPr="00AD48C8" w:rsidRDefault="00AD48C8" w:rsidP="00AD48C8">
      <w:pPr>
        <w:pStyle w:val="a3"/>
        <w:rPr>
          <w:lang w:val="ru-RU"/>
        </w:rPr>
      </w:pPr>
      <w:r w:rsidRPr="00AD48C8">
        <w:rPr>
          <w:lang w:val="ru-RU"/>
        </w:rPr>
        <w:t xml:space="preserve">УДК 336.64 </w:t>
      </w:r>
    </w:p>
    <w:p w:rsidR="00AD48C8" w:rsidRDefault="00AD48C8" w:rsidP="00AD48C8">
      <w:pPr>
        <w:pStyle w:val="a4"/>
      </w:pPr>
      <w:r>
        <w:t>Влияние транспортной и энергетической инфраструктуры на реализацию «Greenfield» горнорудных проектов (на примере месторождений Дальнего Востока России)</w:t>
      </w:r>
    </w:p>
    <w:p w:rsidR="00AD48C8" w:rsidRDefault="00AD48C8" w:rsidP="00AD48C8">
      <w:pPr>
        <w:pStyle w:val="a5"/>
      </w:pPr>
      <w:proofErr w:type="spellStart"/>
      <w:r>
        <w:t>Ламасов</w:t>
      </w:r>
      <w:proofErr w:type="spellEnd"/>
      <w:r>
        <w:t xml:space="preserve"> Денис Артурович,</w:t>
      </w:r>
    </w:p>
    <w:p w:rsidR="00AD48C8" w:rsidRDefault="00AD48C8" w:rsidP="00AD48C8">
      <w:pPr>
        <w:pStyle w:val="a6"/>
      </w:pPr>
      <w:r>
        <w:t>исполнительный директор, РБПФ Проектное Финансирование, Москва, Россия, denis.lamasov@projectfinance.ru</w:t>
      </w:r>
    </w:p>
    <w:p w:rsidR="00AD48C8" w:rsidRDefault="00AD48C8" w:rsidP="00AD48C8">
      <w:pPr>
        <w:pStyle w:val="a7"/>
      </w:pPr>
      <w:r>
        <w:t>В статье анализируется влияние транспортной и энергетической инфраструктуры на реализацию «</w:t>
      </w:r>
      <w:proofErr w:type="spellStart"/>
      <w:r>
        <w:t>greenfield</w:t>
      </w:r>
      <w:proofErr w:type="spellEnd"/>
      <w:r>
        <w:t xml:space="preserve">» горнодобывающих проектов на Дальнем Востоке России. Рассматриваются ключевые инфраструктурные ограничения, такие как низкая плотность транспортной сети, высокая стоимость строительства, дефицит </w:t>
      </w:r>
      <w:proofErr w:type="spellStart"/>
      <w:r>
        <w:t>энергомощностей</w:t>
      </w:r>
      <w:proofErr w:type="spellEnd"/>
      <w:r>
        <w:t xml:space="preserve"> и зависимость от государственного финансирования. Основное внимание уделено различным моделям финансирования, включая государственно-частное партнерство (ГЧП), частные инвестиции и государственные субсидии. Проведен сравнительный анализ международного опыта </w:t>
      </w:r>
      <w:r>
        <w:lastRenderedPageBreak/>
        <w:t>(Австралия, Канада, Китай) в области инфраструктурного обеспечения горнодобывающих предприятий. Оценены перспективы применения зарубежных практик, таких как частное финансирование железнодорожных и портовых объектов, развитие промышленных кластеров и внедрение автономных энергосистем. Даны практические рекомендации по оптимизации финансирования инфраструктуры и повышению экономической эффективности горнодобывающих проектов.</w:t>
      </w:r>
    </w:p>
    <w:p w:rsidR="00AD48C8" w:rsidRDefault="00AD48C8" w:rsidP="00AD48C8">
      <w:pPr>
        <w:pStyle w:val="a7"/>
      </w:pPr>
      <w:r>
        <w:rPr>
          <w:spacing w:val="43"/>
        </w:rPr>
        <w:t>Ключевые слова</w:t>
      </w:r>
      <w:r>
        <w:t>: транспортная инфраструктура; энергетическая инфраструктура; «</w:t>
      </w:r>
      <w:proofErr w:type="spellStart"/>
      <w:r>
        <w:t>greenfield</w:t>
      </w:r>
      <w:proofErr w:type="spellEnd"/>
      <w:r>
        <w:t>» горнодобывающие проекты; финансирование; государственно-частное партнерство; инвестиционные стратегии; Дальний Восток.</w:t>
      </w:r>
    </w:p>
    <w:p w:rsidR="00AD48C8" w:rsidRDefault="00AD48C8" w:rsidP="00AD48C8">
      <w:pPr>
        <w:pStyle w:val="a7"/>
      </w:pPr>
    </w:p>
    <w:p w:rsidR="00AD48C8" w:rsidRPr="00AD48C8" w:rsidRDefault="00AD48C8" w:rsidP="00AD48C8">
      <w:pPr>
        <w:pStyle w:val="a8"/>
        <w:rPr>
          <w:lang w:val="en-US"/>
        </w:rPr>
      </w:pPr>
      <w:r w:rsidRPr="00AD48C8">
        <w:rPr>
          <w:lang w:val="en-US"/>
        </w:rPr>
        <w:t>The impact of transport and energy infrastructure on the implementation of greenfield mining projects (case study of deposits in the Russian Far East)</w:t>
      </w:r>
    </w:p>
    <w:p w:rsidR="00AD48C8" w:rsidRPr="00AD48C8" w:rsidRDefault="00AD48C8" w:rsidP="00AD48C8">
      <w:pPr>
        <w:pStyle w:val="a9"/>
        <w:rPr>
          <w:lang w:val="en-US"/>
        </w:rPr>
      </w:pPr>
      <w:proofErr w:type="spellStart"/>
      <w:proofErr w:type="gramStart"/>
      <w:r w:rsidRPr="00AD48C8">
        <w:rPr>
          <w:lang w:val="en-US"/>
        </w:rPr>
        <w:t>Lamasov</w:t>
      </w:r>
      <w:proofErr w:type="spellEnd"/>
      <w:r w:rsidRPr="00AD48C8">
        <w:rPr>
          <w:lang w:val="en-US"/>
        </w:rPr>
        <w:t xml:space="preserve"> Denis A.,</w:t>
      </w:r>
      <w:proofErr w:type="gramEnd"/>
    </w:p>
    <w:p w:rsidR="00AD48C8" w:rsidRPr="00AD48C8" w:rsidRDefault="00AD48C8" w:rsidP="00AD48C8">
      <w:pPr>
        <w:pStyle w:val="aa"/>
        <w:rPr>
          <w:lang w:val="en-US"/>
        </w:rPr>
      </w:pPr>
      <w:r w:rsidRPr="00AD48C8">
        <w:rPr>
          <w:lang w:val="en-US"/>
        </w:rPr>
        <w:t>Executive Director, RBPF Project Finance, Moscow Russia, denis.lamasov@projectfinance.ru</w:t>
      </w:r>
    </w:p>
    <w:p w:rsidR="00AD48C8" w:rsidRPr="00AD48C8" w:rsidRDefault="00AD48C8" w:rsidP="00AD48C8">
      <w:pPr>
        <w:pStyle w:val="a7"/>
        <w:rPr>
          <w:lang w:val="en-US"/>
        </w:rPr>
      </w:pPr>
      <w:r w:rsidRPr="00AD48C8">
        <w:rPr>
          <w:lang w:val="en-US"/>
        </w:rPr>
        <w:t xml:space="preserve">The article analyzes the impact of transport and energy infrastructure on the implementation of </w:t>
      </w:r>
      <w:proofErr w:type="gramStart"/>
      <w:r w:rsidRPr="00AD48C8">
        <w:rPr>
          <w:lang w:val="en-US"/>
        </w:rPr>
        <w:t>greenfield</w:t>
      </w:r>
      <w:proofErr w:type="gramEnd"/>
      <w:r w:rsidRPr="00AD48C8">
        <w:rPr>
          <w:lang w:val="en-US"/>
        </w:rPr>
        <w:t xml:space="preserve"> mining projects in the Russian Far East. Key infrastructure constraints are examined, including low transport network density, high construction costs, energy capacity deficits, and dependence on government funding. The main focus is on various financing models, including public-private partnerships (PPP), private investments, and government subsidies. A comparative analysis of international experience (Australia, Canada, </w:t>
      </w:r>
      <w:proofErr w:type="gramStart"/>
      <w:r w:rsidRPr="00AD48C8">
        <w:rPr>
          <w:lang w:val="en-US"/>
        </w:rPr>
        <w:t>China</w:t>
      </w:r>
      <w:proofErr w:type="gramEnd"/>
      <w:r w:rsidRPr="00AD48C8">
        <w:rPr>
          <w:lang w:val="en-US"/>
        </w:rPr>
        <w:t>) in mining infrastructure development is conducted. The prospects for applying foreign practices, such as private financing of railway and port facilities, the development of industrial clusters, and the implementation of autonomous energy systems, are assessed. The article presents practical recommendations for optimizing infrastructure financing and improving the economic efficiency of mining projects.</w:t>
      </w:r>
    </w:p>
    <w:p w:rsidR="00AD48C8" w:rsidRPr="00AD48C8" w:rsidRDefault="00AD48C8" w:rsidP="00AD48C8">
      <w:pPr>
        <w:pStyle w:val="a7"/>
        <w:rPr>
          <w:lang w:val="en-US"/>
        </w:rPr>
      </w:pPr>
      <w:r w:rsidRPr="00AD48C8">
        <w:rPr>
          <w:spacing w:val="43"/>
          <w:lang w:val="en-US"/>
        </w:rPr>
        <w:t>Keywords</w:t>
      </w:r>
      <w:r w:rsidRPr="00AD48C8">
        <w:rPr>
          <w:lang w:val="en-US"/>
        </w:rPr>
        <w:t>: transport infrastructure; energy infrastructure; mining projects; financing; public-private partnership; investment strategies; Russian Far East.</w:t>
      </w:r>
    </w:p>
    <w:p w:rsidR="00AD48C8" w:rsidRDefault="00AD48C8" w:rsidP="00AD48C8">
      <w:pPr>
        <w:pStyle w:val="a3"/>
      </w:pPr>
      <w:r>
        <w:t>УДК 339.37</w:t>
      </w:r>
    </w:p>
    <w:p w:rsidR="00AD48C8" w:rsidRDefault="00AD48C8" w:rsidP="00AD48C8">
      <w:pPr>
        <w:pStyle w:val="a4"/>
      </w:pPr>
      <w:r>
        <w:t>Проблемы возврата крупногабаритного спортивно-оздоровительного оборудования региональными клиентами при использовании метода дропшиппинга при доставке</w:t>
      </w:r>
    </w:p>
    <w:p w:rsidR="00AD48C8" w:rsidRDefault="00AD48C8" w:rsidP="00AD48C8">
      <w:pPr>
        <w:pStyle w:val="a5"/>
      </w:pPr>
      <w:proofErr w:type="spellStart"/>
      <w:r>
        <w:t>Лымарь</w:t>
      </w:r>
      <w:proofErr w:type="spellEnd"/>
      <w:r>
        <w:t xml:space="preserve"> Павел Викторович,</w:t>
      </w:r>
    </w:p>
    <w:p w:rsidR="00AD48C8" w:rsidRDefault="00AD48C8" w:rsidP="00AD48C8">
      <w:pPr>
        <w:pStyle w:val="a6"/>
      </w:pPr>
      <w:r>
        <w:t>генеральный директор, ООО «</w:t>
      </w:r>
      <w:proofErr w:type="spellStart"/>
      <w:r>
        <w:t>ФитнесДоктор</w:t>
      </w:r>
      <w:proofErr w:type="spellEnd"/>
      <w:r>
        <w:t>», Санкт-Петербург, Россия, p@fitnessdoctor.ru</w:t>
      </w:r>
    </w:p>
    <w:p w:rsidR="00AD48C8" w:rsidRDefault="00AD48C8" w:rsidP="00AD48C8">
      <w:pPr>
        <w:pStyle w:val="a7"/>
      </w:pPr>
      <w:r>
        <w:t xml:space="preserve">В статье рассматриваются особенности возврата крупногабаритного спортивно-оздоровительного оборудования в рамках </w:t>
      </w:r>
      <w:proofErr w:type="spellStart"/>
      <w:r>
        <w:t>дропшиппинг</w:t>
      </w:r>
      <w:proofErr w:type="spellEnd"/>
      <w:r>
        <w:t xml:space="preserve">-модели в российских регионах. Автор анализирует ключевые логистические и организационные проблемы, возникающие при доставке и обратной логистике, включая повреждение упаковки, несоответствие товара ожиданиям, технические дефекты и высокие затраты на транспортировку. Особое внимание уделено влиянию качества упаковки, региональной удаленности и отсутствию сервисных центров на рост возвратов. Также исследуются экономические и экологические последствия </w:t>
      </w:r>
      <w:proofErr w:type="gramStart"/>
      <w:r>
        <w:t>возвратов</w:t>
      </w:r>
      <w:proofErr w:type="gramEnd"/>
      <w:r>
        <w:t xml:space="preserve"> и предлагается комплекс практических решений, направленных на снижение издержек, повышение клиентской удовлетворенности и устойчивости </w:t>
      </w:r>
      <w:proofErr w:type="spellStart"/>
      <w:r>
        <w:t>дропшиппинг</w:t>
      </w:r>
      <w:proofErr w:type="spellEnd"/>
      <w:r>
        <w:t>-модели.</w:t>
      </w:r>
    </w:p>
    <w:p w:rsidR="00AD48C8" w:rsidRDefault="00AD48C8" w:rsidP="00AD48C8">
      <w:pPr>
        <w:pStyle w:val="a7"/>
      </w:pPr>
      <w:r>
        <w:rPr>
          <w:spacing w:val="43"/>
        </w:rPr>
        <w:t>Ключевые слова:</w:t>
      </w:r>
      <w:r>
        <w:t xml:space="preserve"> </w:t>
      </w:r>
      <w:proofErr w:type="spellStart"/>
      <w:r>
        <w:t>дропшиппинг</w:t>
      </w:r>
      <w:proofErr w:type="spellEnd"/>
      <w:r>
        <w:t>; обратная логистика; крупногабаритные товары; возврат продукции; спортивно-оздоровительное оборудование; упаковка; логистические издержки.</w:t>
      </w:r>
    </w:p>
    <w:p w:rsidR="00AD48C8" w:rsidRDefault="00AD48C8" w:rsidP="00AD48C8">
      <w:pPr>
        <w:pStyle w:val="a7"/>
      </w:pPr>
    </w:p>
    <w:p w:rsidR="00AD48C8" w:rsidRPr="00AD48C8" w:rsidRDefault="00AD48C8" w:rsidP="00AD48C8">
      <w:pPr>
        <w:pStyle w:val="a8"/>
        <w:rPr>
          <w:lang w:val="en-US"/>
        </w:rPr>
      </w:pPr>
      <w:r w:rsidRPr="00AD48C8">
        <w:rPr>
          <w:lang w:val="en-US"/>
        </w:rPr>
        <w:t>Problems of Returning Large-Sized Fitness and Wellness Equipment by Regional Customers under the Dropshipping Delivery Model</w:t>
      </w:r>
    </w:p>
    <w:p w:rsidR="00AD48C8" w:rsidRPr="00AD48C8" w:rsidRDefault="00AD48C8" w:rsidP="00AD48C8">
      <w:pPr>
        <w:pStyle w:val="a9"/>
        <w:rPr>
          <w:lang w:val="en-US"/>
        </w:rPr>
      </w:pPr>
      <w:proofErr w:type="spellStart"/>
      <w:r w:rsidRPr="00AD48C8">
        <w:rPr>
          <w:lang w:val="en-US"/>
        </w:rPr>
        <w:lastRenderedPageBreak/>
        <w:t>Lymar</w:t>
      </w:r>
      <w:proofErr w:type="spellEnd"/>
      <w:r w:rsidRPr="00AD48C8">
        <w:rPr>
          <w:lang w:val="en-US"/>
        </w:rPr>
        <w:t xml:space="preserve"> </w:t>
      </w:r>
      <w:proofErr w:type="spellStart"/>
      <w:r w:rsidRPr="00AD48C8">
        <w:rPr>
          <w:lang w:val="en-US"/>
        </w:rPr>
        <w:t>Pavel</w:t>
      </w:r>
      <w:proofErr w:type="spellEnd"/>
      <w:r w:rsidRPr="00AD48C8">
        <w:rPr>
          <w:lang w:val="en-US"/>
        </w:rPr>
        <w:t xml:space="preserve"> V., </w:t>
      </w:r>
    </w:p>
    <w:p w:rsidR="00AD48C8" w:rsidRPr="00AD48C8" w:rsidRDefault="00AD48C8" w:rsidP="00AD48C8">
      <w:pPr>
        <w:pStyle w:val="aa"/>
        <w:rPr>
          <w:lang w:val="en-US"/>
        </w:rPr>
      </w:pPr>
      <w:r w:rsidRPr="00AD48C8">
        <w:rPr>
          <w:lang w:val="en-US"/>
        </w:rPr>
        <w:t xml:space="preserve">Chief Executive Officer, </w:t>
      </w:r>
      <w:proofErr w:type="spellStart"/>
      <w:r w:rsidRPr="00AD48C8">
        <w:rPr>
          <w:lang w:val="en-US"/>
        </w:rPr>
        <w:t>FitnessDoctor</w:t>
      </w:r>
      <w:proofErr w:type="spellEnd"/>
      <w:r w:rsidRPr="00AD48C8">
        <w:rPr>
          <w:lang w:val="en-US"/>
        </w:rPr>
        <w:t xml:space="preserve"> LLC, Saint Petersburg, Russia, </w:t>
      </w:r>
      <w:r w:rsidRPr="00AD48C8">
        <w:rPr>
          <w:lang w:val="en-US"/>
        </w:rPr>
        <w:br/>
        <w:t>p@fitnessdoctor.ru</w:t>
      </w:r>
    </w:p>
    <w:p w:rsidR="00AD48C8" w:rsidRPr="00AD48C8" w:rsidRDefault="00AD48C8" w:rsidP="00AD48C8">
      <w:pPr>
        <w:pStyle w:val="a7"/>
        <w:rPr>
          <w:lang w:val="en-US"/>
        </w:rPr>
      </w:pPr>
      <w:r w:rsidRPr="00AD48C8">
        <w:rPr>
          <w:lang w:val="en-US"/>
        </w:rPr>
        <w:t xml:space="preserve">The article examines the specifics of returning large-sized fitness and wellness equipment within the framework of the </w:t>
      </w:r>
      <w:proofErr w:type="spellStart"/>
      <w:r w:rsidRPr="00AD48C8">
        <w:rPr>
          <w:lang w:val="en-US"/>
        </w:rPr>
        <w:t>dropshipping</w:t>
      </w:r>
      <w:proofErr w:type="spellEnd"/>
      <w:r w:rsidRPr="00AD48C8">
        <w:rPr>
          <w:lang w:val="en-US"/>
        </w:rPr>
        <w:t xml:space="preserve"> model in Russian regions. The author analyzes key logistical and organizational challenges arising in the process of delivery and reverse logistics, including packaging damage, product mismatch with expectations, technical defects, and high transportation costs. Particular attention is paid to the impact of packaging quality, regional remoteness, and the lack of service centers on the increase in return rates. The study also explores the economic and environmental consequences of returns and proposes a set of practical solutions aimed at reducing costs, improving customer satisfaction, and increasing the sustainability of the </w:t>
      </w:r>
      <w:proofErr w:type="spellStart"/>
      <w:r w:rsidRPr="00AD48C8">
        <w:rPr>
          <w:lang w:val="en-US"/>
        </w:rPr>
        <w:t>dropshipping</w:t>
      </w:r>
      <w:proofErr w:type="spellEnd"/>
      <w:r w:rsidRPr="00AD48C8">
        <w:rPr>
          <w:lang w:val="en-US"/>
        </w:rPr>
        <w:t xml:space="preserve"> model.</w:t>
      </w:r>
    </w:p>
    <w:p w:rsidR="00AD48C8" w:rsidRPr="00AD48C8" w:rsidRDefault="00AD48C8" w:rsidP="00AD48C8">
      <w:pPr>
        <w:pStyle w:val="a7"/>
        <w:rPr>
          <w:lang w:val="en-US"/>
        </w:rPr>
      </w:pPr>
      <w:r w:rsidRPr="00AD48C8">
        <w:rPr>
          <w:spacing w:val="43"/>
          <w:lang w:val="en-US"/>
        </w:rPr>
        <w:t>Keywords</w:t>
      </w:r>
      <w:r w:rsidRPr="00AD48C8">
        <w:rPr>
          <w:lang w:val="en-US"/>
        </w:rPr>
        <w:t xml:space="preserve">: </w:t>
      </w:r>
      <w:proofErr w:type="spellStart"/>
      <w:r w:rsidRPr="00AD48C8">
        <w:rPr>
          <w:lang w:val="en-US"/>
        </w:rPr>
        <w:t>dropshipping</w:t>
      </w:r>
      <w:proofErr w:type="spellEnd"/>
      <w:r w:rsidRPr="00AD48C8">
        <w:rPr>
          <w:lang w:val="en-US"/>
        </w:rPr>
        <w:t>; reverse logistics; large-sized goods; product returns; fitness and wellness equipment; packaging; logistics costs.</w:t>
      </w:r>
    </w:p>
    <w:p w:rsidR="00AD48C8" w:rsidRPr="00AD48C8" w:rsidRDefault="00AD48C8" w:rsidP="00AD48C8">
      <w:pPr>
        <w:pStyle w:val="a3"/>
        <w:rPr>
          <w:lang w:val="ru-RU"/>
        </w:rPr>
      </w:pPr>
      <w:r w:rsidRPr="00AD48C8">
        <w:rPr>
          <w:lang w:val="ru-RU"/>
        </w:rPr>
        <w:t>УДК 330</w:t>
      </w:r>
    </w:p>
    <w:p w:rsidR="00AD48C8" w:rsidRDefault="00AD48C8" w:rsidP="00AD48C8">
      <w:pPr>
        <w:pStyle w:val="a4"/>
      </w:pPr>
      <w:r>
        <w:t>Изменение поведенческих шаблонов потребителей в условиях посткризисного восстановления экономики</w:t>
      </w:r>
    </w:p>
    <w:p w:rsidR="00AD48C8" w:rsidRDefault="00AD48C8" w:rsidP="00AD48C8">
      <w:pPr>
        <w:pStyle w:val="a5"/>
      </w:pPr>
      <w:proofErr w:type="spellStart"/>
      <w:r>
        <w:t>Перегудин</w:t>
      </w:r>
      <w:proofErr w:type="spellEnd"/>
      <w:r>
        <w:t xml:space="preserve"> Анатолий,</w:t>
      </w:r>
    </w:p>
    <w:p w:rsidR="00AD48C8" w:rsidRDefault="00AD48C8" w:rsidP="00AD48C8">
      <w:pPr>
        <w:pStyle w:val="a6"/>
      </w:pPr>
      <w:r>
        <w:t xml:space="preserve">магистрант, Университет Уильяма </w:t>
      </w:r>
      <w:proofErr w:type="spellStart"/>
      <w:r>
        <w:t>Джессапа</w:t>
      </w:r>
      <w:proofErr w:type="spellEnd"/>
      <w:r>
        <w:t xml:space="preserve">, </w:t>
      </w:r>
      <w:proofErr w:type="spellStart"/>
      <w:r>
        <w:t>Роклин</w:t>
      </w:r>
      <w:proofErr w:type="spellEnd"/>
      <w:r>
        <w:t xml:space="preserve"> (Калифорния), США, 89174916933z@gmail.com</w:t>
      </w:r>
    </w:p>
    <w:p w:rsidR="00AD48C8" w:rsidRDefault="00AD48C8" w:rsidP="00AD48C8">
      <w:pPr>
        <w:pStyle w:val="a7"/>
      </w:pPr>
      <w:r>
        <w:t xml:space="preserve">В статье рассматриваются изменения поведенческих шаблонов потребителей в условиях посткризисного восстановления экономики после пандемии COVID-19. Автор анализирует ключевые трансформации потребительского поведения, включая рост цифровизации, усиление рационального потребления, переоценку ценностей и изменение критериев выбора брендов. Особое внимание уделено актуализации методов маркетинговой сегментации, в том числе поведенческой и </w:t>
      </w:r>
      <w:proofErr w:type="spellStart"/>
      <w:r>
        <w:t>психографической</w:t>
      </w:r>
      <w:proofErr w:type="spellEnd"/>
      <w:r>
        <w:t>. Предлагаются рекомендации по адаптации маркетинговых стратегий с учетом новых ожиданий и мотивации целевой аудитории. Статья предназначена для специалистов в области маркетинга, стратегического планирования и управления потребительским опытом.</w:t>
      </w:r>
    </w:p>
    <w:p w:rsidR="00AD48C8" w:rsidRDefault="00AD48C8" w:rsidP="00AD48C8">
      <w:pPr>
        <w:pStyle w:val="a7"/>
      </w:pPr>
      <w:r>
        <w:rPr>
          <w:spacing w:val="43"/>
        </w:rPr>
        <w:t>Ключевые слова:</w:t>
      </w:r>
      <w:r>
        <w:t xml:space="preserve"> потребительское поведение; маркетинг; сегментация; посткризисное восстановление; COVID-19; цифровизация; поведенческие шаблоны.</w:t>
      </w:r>
    </w:p>
    <w:p w:rsidR="00AD48C8" w:rsidRDefault="00AD48C8" w:rsidP="00AD48C8">
      <w:pPr>
        <w:pStyle w:val="a7"/>
      </w:pPr>
    </w:p>
    <w:p w:rsidR="00AD48C8" w:rsidRPr="00AD48C8" w:rsidRDefault="00AD48C8" w:rsidP="00AD48C8">
      <w:pPr>
        <w:pStyle w:val="a8"/>
        <w:rPr>
          <w:lang w:val="en-US"/>
        </w:rPr>
      </w:pPr>
      <w:r w:rsidRPr="00AD48C8">
        <w:rPr>
          <w:lang w:val="en-US"/>
        </w:rPr>
        <w:t xml:space="preserve">Changes in Consumer Behavioral Patterns </w:t>
      </w:r>
      <w:r w:rsidRPr="00AD48C8">
        <w:rPr>
          <w:lang w:val="en-US"/>
        </w:rPr>
        <w:br/>
        <w:t>Amid Post-Crisis Economic Recovery</w:t>
      </w:r>
    </w:p>
    <w:p w:rsidR="00AD48C8" w:rsidRPr="00AD48C8" w:rsidRDefault="00AD48C8" w:rsidP="00AD48C8">
      <w:pPr>
        <w:pStyle w:val="a9"/>
        <w:rPr>
          <w:lang w:val="en-US"/>
        </w:rPr>
      </w:pPr>
      <w:proofErr w:type="spellStart"/>
      <w:r w:rsidRPr="00AD48C8">
        <w:rPr>
          <w:lang w:val="en-US"/>
        </w:rPr>
        <w:t>Peregudin</w:t>
      </w:r>
      <w:proofErr w:type="spellEnd"/>
      <w:r w:rsidRPr="00AD48C8">
        <w:rPr>
          <w:lang w:val="en-US"/>
        </w:rPr>
        <w:t xml:space="preserve"> </w:t>
      </w:r>
      <w:proofErr w:type="spellStart"/>
      <w:r w:rsidRPr="00AD48C8">
        <w:rPr>
          <w:lang w:val="en-US"/>
        </w:rPr>
        <w:t>Anatolii</w:t>
      </w:r>
      <w:proofErr w:type="spellEnd"/>
      <w:r w:rsidRPr="00AD48C8">
        <w:rPr>
          <w:lang w:val="en-US"/>
        </w:rPr>
        <w:t xml:space="preserve">, </w:t>
      </w:r>
    </w:p>
    <w:p w:rsidR="00AD48C8" w:rsidRPr="00AD48C8" w:rsidRDefault="00AD48C8" w:rsidP="00AD48C8">
      <w:pPr>
        <w:pStyle w:val="aa"/>
        <w:rPr>
          <w:lang w:val="en-US"/>
        </w:rPr>
      </w:pPr>
      <w:r w:rsidRPr="00AD48C8">
        <w:rPr>
          <w:lang w:val="en-US"/>
        </w:rPr>
        <w:t>William Jessup University, Graduate Student, Rocklin, CA, USA</w:t>
      </w:r>
      <w:proofErr w:type="gramStart"/>
      <w:r w:rsidRPr="00AD48C8">
        <w:rPr>
          <w:lang w:val="en-US"/>
        </w:rPr>
        <w:t>,  89174916933z@gmail.com</w:t>
      </w:r>
      <w:proofErr w:type="gramEnd"/>
    </w:p>
    <w:p w:rsidR="00AD48C8" w:rsidRPr="00AD48C8" w:rsidRDefault="00AD48C8" w:rsidP="00AD48C8">
      <w:pPr>
        <w:pStyle w:val="a7"/>
        <w:rPr>
          <w:lang w:val="en-US"/>
        </w:rPr>
      </w:pPr>
      <w:r w:rsidRPr="00AD48C8">
        <w:rPr>
          <w:lang w:val="en-US"/>
        </w:rPr>
        <w:t>The article examines changes in consumer behavioral patterns in the context of post-crisis economic recovery following the COVID-19 pandemic. The author analyzes key transformations in consumer behavior, including the growth of digitalization, increased rational consumption, value re-evaluation, and changing brand selection criteria. Special attention is given to the modernization of marketing segmentation methods, including behavioral and psychographic approaches. Based on the conducted analysis, the article offers recommendations for adapting marketing strategies in line with the new expectations and motivations of the target audience. The article is intended for professionals in marketing, strategic planning, and consumer experience management.</w:t>
      </w:r>
    </w:p>
    <w:p w:rsidR="00AD48C8" w:rsidRPr="00AD48C8" w:rsidRDefault="00AD48C8" w:rsidP="00AD48C8">
      <w:pPr>
        <w:pStyle w:val="a7"/>
        <w:rPr>
          <w:lang w:val="en-US"/>
        </w:rPr>
      </w:pPr>
      <w:r w:rsidRPr="00AD48C8">
        <w:rPr>
          <w:spacing w:val="43"/>
          <w:lang w:val="en-US"/>
        </w:rPr>
        <w:t>Keywords</w:t>
      </w:r>
      <w:r w:rsidRPr="00AD48C8">
        <w:rPr>
          <w:lang w:val="en-US"/>
        </w:rPr>
        <w:t>: consumer behavior; marketing; segmentation; post-crisis recovery; COVID-19; digitalization; behavioral patterns.</w:t>
      </w:r>
    </w:p>
    <w:p w:rsidR="00AD48C8" w:rsidRDefault="00AD48C8" w:rsidP="00AD48C8">
      <w:pPr>
        <w:pStyle w:val="a3"/>
      </w:pPr>
      <w:r>
        <w:t>УДК 372.878</w:t>
      </w:r>
    </w:p>
    <w:p w:rsidR="00AD48C8" w:rsidRDefault="00AD48C8" w:rsidP="00AD48C8">
      <w:pPr>
        <w:pStyle w:val="a4"/>
      </w:pPr>
      <w:r>
        <w:t xml:space="preserve">Преподавание музыкальной теории для продюсеров электронной музыки: адаптация традиционных концепций к </w:t>
      </w:r>
      <w:proofErr w:type="gramStart"/>
      <w:r>
        <w:t>современному</w:t>
      </w:r>
      <w:proofErr w:type="gramEnd"/>
      <w:r>
        <w:t xml:space="preserve"> музыкальному продюсированию</w:t>
      </w:r>
    </w:p>
    <w:p w:rsidR="00AD48C8" w:rsidRDefault="00AD48C8" w:rsidP="00AD48C8">
      <w:pPr>
        <w:pStyle w:val="a5"/>
      </w:pPr>
      <w:proofErr w:type="spellStart"/>
      <w:r>
        <w:lastRenderedPageBreak/>
        <w:t>Пятибрат</w:t>
      </w:r>
      <w:proofErr w:type="spellEnd"/>
      <w:r>
        <w:t xml:space="preserve"> Анастасия Алексеевна,</w:t>
      </w:r>
    </w:p>
    <w:p w:rsidR="00AD48C8" w:rsidRDefault="00AD48C8" w:rsidP="00AD48C8">
      <w:pPr>
        <w:pStyle w:val="a6"/>
      </w:pPr>
      <w:r>
        <w:t>композитор, аранжировщик и исполнитель, Москва, Россия, n.pyatibrat@mail.ru</w:t>
      </w:r>
    </w:p>
    <w:p w:rsidR="00AD48C8" w:rsidRDefault="00AD48C8" w:rsidP="00AD48C8">
      <w:pPr>
        <w:pStyle w:val="a7"/>
      </w:pPr>
      <w:r>
        <w:t xml:space="preserve">В статье рассматриваются подходы к преподаванию музыкальной теории, адаптированные к потребностям продюсеров электронной музыки, работающих в цифровой среде. Анализируется несоответствие традиционной академической модели современным формам музыкального </w:t>
      </w:r>
      <w:proofErr w:type="gramStart"/>
      <w:r>
        <w:t>производства</w:t>
      </w:r>
      <w:proofErr w:type="gramEnd"/>
      <w:r>
        <w:t xml:space="preserve"> и предлагаются методики, ориентированные на практическое применение теоретических знаний в цифровых </w:t>
      </w:r>
      <w:proofErr w:type="spellStart"/>
      <w:r>
        <w:t>аудиостанциях</w:t>
      </w:r>
      <w:proofErr w:type="spellEnd"/>
      <w:r>
        <w:t xml:space="preserve"> (DAW). Особое внимание уделяется интеграции теории в процесс создания музыки с использованием виртуальных инструментов, плагинов, секвенсоров и автоматизации. Обосновывается необходимость перехода к модульному и проектно-ориентированному обучению, где теория преподается как прикладной инструмент творческого мышления. Делается вывод о важности переосмысления роли музыкальной теории как основы для развития выразительных и структурных навыков в электронной композиции.</w:t>
      </w:r>
    </w:p>
    <w:p w:rsidR="00AD48C8" w:rsidRDefault="00AD48C8" w:rsidP="00AD48C8">
      <w:pPr>
        <w:pStyle w:val="a7"/>
      </w:pPr>
      <w:proofErr w:type="gramStart"/>
      <w:r>
        <w:rPr>
          <w:spacing w:val="43"/>
        </w:rPr>
        <w:t>Ключевые слова:</w:t>
      </w:r>
      <w:r>
        <w:t xml:space="preserve"> музыкальная теория; электронная музыка; цифровой </w:t>
      </w:r>
      <w:proofErr w:type="spellStart"/>
      <w:r>
        <w:t>продакшен</w:t>
      </w:r>
      <w:proofErr w:type="spellEnd"/>
      <w:r>
        <w:t>; DAW; адаптация теории; практико-ориентированное обучение; гармония; ритм; модуляция; проектный подход.</w:t>
      </w:r>
      <w:proofErr w:type="gramEnd"/>
    </w:p>
    <w:p w:rsidR="00AD48C8" w:rsidRDefault="00AD48C8" w:rsidP="00AD48C8">
      <w:pPr>
        <w:pStyle w:val="a7"/>
      </w:pPr>
    </w:p>
    <w:p w:rsidR="00AD48C8" w:rsidRPr="00AD48C8" w:rsidRDefault="00AD48C8" w:rsidP="00AD48C8">
      <w:pPr>
        <w:pStyle w:val="a8"/>
        <w:rPr>
          <w:lang w:val="en-US"/>
        </w:rPr>
      </w:pPr>
      <w:r w:rsidRPr="00AD48C8">
        <w:rPr>
          <w:lang w:val="en-US"/>
        </w:rPr>
        <w:t>Teaching Music Theory for Electronic Music Producers: Adapting Traditional Concepts to Contemporary Music Production</w:t>
      </w:r>
    </w:p>
    <w:p w:rsidR="00AD48C8" w:rsidRPr="00AD48C8" w:rsidRDefault="00AD48C8" w:rsidP="00AD48C8">
      <w:pPr>
        <w:pStyle w:val="a9"/>
        <w:rPr>
          <w:lang w:val="en-US"/>
        </w:rPr>
      </w:pPr>
      <w:proofErr w:type="spellStart"/>
      <w:proofErr w:type="gramStart"/>
      <w:r w:rsidRPr="00AD48C8">
        <w:rPr>
          <w:lang w:val="en-US"/>
        </w:rPr>
        <w:t>Piatibrat</w:t>
      </w:r>
      <w:proofErr w:type="spellEnd"/>
      <w:r w:rsidRPr="00AD48C8">
        <w:rPr>
          <w:lang w:val="en-US"/>
        </w:rPr>
        <w:t xml:space="preserve"> </w:t>
      </w:r>
      <w:proofErr w:type="spellStart"/>
      <w:r w:rsidRPr="00AD48C8">
        <w:rPr>
          <w:lang w:val="en-US"/>
        </w:rPr>
        <w:t>Anastasiia</w:t>
      </w:r>
      <w:proofErr w:type="spellEnd"/>
      <w:r w:rsidRPr="00AD48C8">
        <w:rPr>
          <w:lang w:val="en-US"/>
        </w:rPr>
        <w:t xml:space="preserve"> A.,</w:t>
      </w:r>
      <w:proofErr w:type="gramEnd"/>
    </w:p>
    <w:p w:rsidR="00AD48C8" w:rsidRPr="00AD48C8" w:rsidRDefault="00AD48C8" w:rsidP="00AD48C8">
      <w:pPr>
        <w:pStyle w:val="aa"/>
        <w:rPr>
          <w:lang w:val="en-US"/>
        </w:rPr>
      </w:pPr>
      <w:r w:rsidRPr="00AD48C8">
        <w:rPr>
          <w:lang w:val="en-US"/>
        </w:rPr>
        <w:t>Composer, arranger and performer, Moscow, Russia, n.pyatibrat@mail.ru</w:t>
      </w:r>
    </w:p>
    <w:p w:rsidR="00AD48C8" w:rsidRPr="00AD48C8" w:rsidRDefault="00AD48C8" w:rsidP="00AD48C8">
      <w:pPr>
        <w:pStyle w:val="a7"/>
        <w:rPr>
          <w:lang w:val="en-US"/>
        </w:rPr>
      </w:pPr>
      <w:r w:rsidRPr="00AD48C8">
        <w:rPr>
          <w:lang w:val="en-US"/>
        </w:rPr>
        <w:t>This article explores approaches to teaching music theory adapted to the needs of electronic music producers working in digital environments. It analyzes the mismatch between the traditional academic model and modern forms of music production, and proposes methodologies focused on the practical application of theoretical knowledge within digital audio workstations (DAWs). Particular attention is given to the integration of theory into the music creation process through the use of virtual instruments, plugins, sequencers, and automation. The article substantiates the need for a shift toward modular and project-based learning, where theory is presented as a practical tool for creative thinking. It concludes with an emphasis on the importance of reinterpreting the role of music theory as a foundation for developing expressive and structural skills in electronic composition.</w:t>
      </w:r>
    </w:p>
    <w:p w:rsidR="00AD48C8" w:rsidRPr="00AD48C8" w:rsidRDefault="00AD48C8" w:rsidP="00AD48C8">
      <w:pPr>
        <w:pStyle w:val="a7"/>
        <w:rPr>
          <w:lang w:val="en-US"/>
        </w:rPr>
      </w:pPr>
      <w:r w:rsidRPr="00AD48C8">
        <w:rPr>
          <w:spacing w:val="43"/>
          <w:lang w:val="en-US"/>
        </w:rPr>
        <w:t>Keywords</w:t>
      </w:r>
      <w:r w:rsidRPr="00AD48C8">
        <w:rPr>
          <w:lang w:val="en-US"/>
        </w:rPr>
        <w:t>: music theory; electronic music; digital production; DAW; theory adaptation; practice-oriented learning; harmony; rhythm; modulation; project-based approach.</w:t>
      </w:r>
    </w:p>
    <w:p w:rsidR="00AD48C8" w:rsidRPr="00AD48C8" w:rsidRDefault="00AD48C8" w:rsidP="00AD48C8">
      <w:pPr>
        <w:pStyle w:val="a3"/>
        <w:rPr>
          <w:lang w:val="ru-RU"/>
        </w:rPr>
      </w:pPr>
      <w:r w:rsidRPr="00AD48C8">
        <w:rPr>
          <w:lang w:val="ru-RU"/>
        </w:rPr>
        <w:t>УДК 339</w:t>
      </w:r>
    </w:p>
    <w:p w:rsidR="00AD48C8" w:rsidRDefault="00AD48C8" w:rsidP="00AD48C8">
      <w:pPr>
        <w:pStyle w:val="a4"/>
      </w:pPr>
      <w:r>
        <w:t>Западные корпорации на рынках высоких технологий</w:t>
      </w:r>
    </w:p>
    <w:p w:rsidR="00AD48C8" w:rsidRDefault="00AD48C8" w:rsidP="00AD48C8">
      <w:pPr>
        <w:pStyle w:val="a5"/>
      </w:pPr>
      <w:r>
        <w:t xml:space="preserve">Романов Михаил Игоревич, </w:t>
      </w:r>
    </w:p>
    <w:p w:rsidR="00AD48C8" w:rsidRDefault="00AD48C8" w:rsidP="00AD48C8">
      <w:pPr>
        <w:pStyle w:val="a6"/>
      </w:pPr>
      <w:r>
        <w:t>главный специалист Управления по организации и проведению закупок, АО «</w:t>
      </w:r>
      <w:proofErr w:type="spellStart"/>
      <w:r>
        <w:t>Атомкомплект</w:t>
      </w:r>
      <w:proofErr w:type="spellEnd"/>
      <w:r>
        <w:t>» (</w:t>
      </w:r>
      <w:proofErr w:type="spellStart"/>
      <w:r>
        <w:t>Госкорпорация</w:t>
      </w:r>
      <w:proofErr w:type="spellEnd"/>
      <w:r>
        <w:t xml:space="preserve"> «</w:t>
      </w:r>
      <w:proofErr w:type="spellStart"/>
      <w:r>
        <w:t>Росатом</w:t>
      </w:r>
      <w:proofErr w:type="spellEnd"/>
      <w:r>
        <w:t>»), mihaileromanov@gmail.com</w:t>
      </w:r>
    </w:p>
    <w:p w:rsidR="00AD48C8" w:rsidRDefault="00AD48C8" w:rsidP="00AD48C8">
      <w:pPr>
        <w:pStyle w:val="a7"/>
      </w:pPr>
      <w:r>
        <w:t>Современные рынки высоких технологий характеризуются быстрым темпом развития и высокой степенью динамизма, требующего моментальной адаптации. Как следствие, ведущие технологические корпорации мира уделяют особое внимание исследованию внешней конкурентной среды и механизму раннего предупреждения. В статье рассмотрены основные тенденции наиболее изменчивых рынков высоких технологий (массовые рынки), а также особенности поведения западных корпораций в конкурентной борьбе. Продемонстрированы примеры утраты лидирующего положения ряда корпораций по причине неэффективной организации конкурентного мониторинга и стратегические решения, которые привели к глобальному доминированию.</w:t>
      </w:r>
    </w:p>
    <w:p w:rsidR="00AD48C8" w:rsidRDefault="00AD48C8" w:rsidP="00AD48C8">
      <w:pPr>
        <w:pStyle w:val="a7"/>
      </w:pPr>
      <w:r>
        <w:rPr>
          <w:spacing w:val="43"/>
        </w:rPr>
        <w:t>Ключевые слова</w:t>
      </w:r>
      <w:r>
        <w:t>: высокие технологии; транснациональные корпорации; международная конкурентоспособность; инновации; инновационная разведка; конкурентная стратегия.</w:t>
      </w:r>
    </w:p>
    <w:p w:rsidR="00AD48C8" w:rsidRDefault="00AD48C8" w:rsidP="00AD48C8">
      <w:pPr>
        <w:pStyle w:val="a7"/>
      </w:pPr>
    </w:p>
    <w:p w:rsidR="00AD48C8" w:rsidRPr="00AD48C8" w:rsidRDefault="00AD48C8" w:rsidP="00AD48C8">
      <w:pPr>
        <w:pStyle w:val="a8"/>
        <w:rPr>
          <w:lang w:val="en-US"/>
        </w:rPr>
      </w:pPr>
      <w:r w:rsidRPr="00AD48C8">
        <w:rPr>
          <w:lang w:val="en-US"/>
        </w:rPr>
        <w:t>Western Corporations in High-Tech Markets</w:t>
      </w:r>
    </w:p>
    <w:p w:rsidR="00AD48C8" w:rsidRPr="00AD48C8" w:rsidRDefault="00AD48C8" w:rsidP="00AD48C8">
      <w:pPr>
        <w:pStyle w:val="a9"/>
        <w:rPr>
          <w:lang w:val="en-US"/>
        </w:rPr>
      </w:pPr>
      <w:r w:rsidRPr="00AD48C8">
        <w:rPr>
          <w:lang w:val="en-US"/>
        </w:rPr>
        <w:t>Romanov Mikhail I</w:t>
      </w:r>
      <w:proofErr w:type="gramStart"/>
      <w:r w:rsidRPr="00AD48C8">
        <w:rPr>
          <w:lang w:val="en-US"/>
        </w:rPr>
        <w:t>.,</w:t>
      </w:r>
      <w:proofErr w:type="gramEnd"/>
      <w:r w:rsidRPr="00AD48C8">
        <w:rPr>
          <w:lang w:val="en-US"/>
        </w:rPr>
        <w:t xml:space="preserve"> </w:t>
      </w:r>
    </w:p>
    <w:p w:rsidR="00AD48C8" w:rsidRPr="00AD48C8" w:rsidRDefault="00AD48C8" w:rsidP="00AD48C8">
      <w:pPr>
        <w:pStyle w:val="aa"/>
        <w:rPr>
          <w:lang w:val="en-US"/>
        </w:rPr>
      </w:pPr>
      <w:r w:rsidRPr="00AD48C8">
        <w:rPr>
          <w:lang w:val="en-US"/>
        </w:rPr>
        <w:t>Senior Specialist of the Procurement Department, JSC </w:t>
      </w:r>
      <w:proofErr w:type="spellStart"/>
      <w:r w:rsidRPr="00AD48C8">
        <w:rPr>
          <w:lang w:val="en-US"/>
        </w:rPr>
        <w:t>Atomkomplekt</w:t>
      </w:r>
      <w:proofErr w:type="spellEnd"/>
      <w:r w:rsidRPr="00AD48C8">
        <w:rPr>
          <w:lang w:val="en-US"/>
        </w:rPr>
        <w:t xml:space="preserve"> (</w:t>
      </w:r>
      <w:proofErr w:type="spellStart"/>
      <w:r w:rsidRPr="00AD48C8">
        <w:rPr>
          <w:lang w:val="en-US"/>
        </w:rPr>
        <w:t>Rosatom</w:t>
      </w:r>
      <w:proofErr w:type="spellEnd"/>
      <w:r w:rsidRPr="00AD48C8">
        <w:rPr>
          <w:lang w:val="en-US"/>
        </w:rPr>
        <w:t xml:space="preserve"> Corporation), mihaileromanov@gmail.com</w:t>
      </w:r>
    </w:p>
    <w:p w:rsidR="00AD48C8" w:rsidRPr="00AD48C8" w:rsidRDefault="00AD48C8" w:rsidP="00AD48C8">
      <w:pPr>
        <w:pStyle w:val="a7"/>
        <w:rPr>
          <w:lang w:val="en-US"/>
        </w:rPr>
      </w:pPr>
      <w:r w:rsidRPr="00AD48C8">
        <w:rPr>
          <w:lang w:val="en-US"/>
        </w:rPr>
        <w:t xml:space="preserve">A rapid pace of development and a high degree of dynamism that requires immediate adaptation characterize modern high-tech markets. As a result, the world’s leading technology corporations pay special attention to the study </w:t>
      </w:r>
      <w:r w:rsidRPr="00AD48C8">
        <w:rPr>
          <w:lang w:val="en-US"/>
        </w:rPr>
        <w:lastRenderedPageBreak/>
        <w:t>of the external competitive environment and the early warning mechanism. The article examines the main trends of the most volatile high-tech markets (mass markets), as well as the behavior of Western Corporations in competition. Examples of the loss of a leading position by a number of corporations due to ineffective organization of competitive monitoring and strategic decisions that led to global dominance are demonstrated.</w:t>
      </w:r>
    </w:p>
    <w:p w:rsidR="00AD48C8" w:rsidRPr="00AD48C8" w:rsidRDefault="00AD48C8" w:rsidP="00AD48C8">
      <w:pPr>
        <w:pStyle w:val="a7"/>
        <w:rPr>
          <w:lang w:val="en-US"/>
        </w:rPr>
      </w:pPr>
      <w:r w:rsidRPr="00AD48C8">
        <w:rPr>
          <w:spacing w:val="43"/>
          <w:lang w:val="en-US"/>
        </w:rPr>
        <w:t>Keywords</w:t>
      </w:r>
      <w:r w:rsidRPr="00AD48C8">
        <w:rPr>
          <w:lang w:val="en-US"/>
        </w:rPr>
        <w:t>: high technology; transnational corporations; international competitiveness; innovation; innovative intelligence; competitive strategy.</w:t>
      </w:r>
    </w:p>
    <w:p w:rsidR="00AD48C8" w:rsidRPr="00AD48C8" w:rsidRDefault="00AD48C8" w:rsidP="00AD48C8">
      <w:pPr>
        <w:pStyle w:val="a3"/>
        <w:rPr>
          <w:lang w:val="ru-RU"/>
        </w:rPr>
      </w:pPr>
      <w:r w:rsidRPr="00AD48C8">
        <w:rPr>
          <w:lang w:val="ru-RU"/>
        </w:rPr>
        <w:t xml:space="preserve">УДК 372.881.111.1 </w:t>
      </w:r>
    </w:p>
    <w:p w:rsidR="00AD48C8" w:rsidRDefault="00AD48C8" w:rsidP="00AD48C8">
      <w:pPr>
        <w:pStyle w:val="a4"/>
      </w:pPr>
      <w:r>
        <w:t>Применение аутентичных материалов на уроке английского языка</w:t>
      </w:r>
    </w:p>
    <w:p w:rsidR="00AD48C8" w:rsidRDefault="00AD48C8" w:rsidP="00AD48C8">
      <w:pPr>
        <w:pStyle w:val="a5"/>
      </w:pPr>
      <w:r>
        <w:t>Соловьева Инга Сергеевна,</w:t>
      </w:r>
    </w:p>
    <w:p w:rsidR="00AD48C8" w:rsidRDefault="00AD48C8" w:rsidP="00AD48C8">
      <w:pPr>
        <w:pStyle w:val="a6"/>
      </w:pPr>
      <w:r>
        <w:t>учитель английского языка, Средняя общеобразовательная школа № 68, Тюмень, Россия, inga.solovyeva@mail.ru</w:t>
      </w:r>
    </w:p>
    <w:p w:rsidR="00AD48C8" w:rsidRDefault="00AD48C8" w:rsidP="00AD48C8">
      <w:pPr>
        <w:pStyle w:val="a7"/>
      </w:pPr>
      <w:r>
        <w:t>В статье рассматривается актуальность использования аутентичных материалов в процессе преподавания английского языка в условиях современных образовательных реалий. Анализируется влияние социально-экономических изменений на пересмотр целей обучения иностранным языкам и подчеркивается важность формирования коммуникативной и межкультурной компетенции учащихся. Особое внимание уделено понятию аутентичности в педагогике, различным классификациям и уровням аутентичных материалов, а также методам их эффективного применения на уроках. Исследуется педагогический потенциал подлинных языковых ресурсов, демонстрируются способы их интеграции в учебный процесс с учетом целей обучения и уровня подготовки школьников. Раскрываются преимущества и возможные трудности работы с оригинальными источниками, представлены практические примеры адаптации сложных текстов, в том числе с использованием визуальных и лексических средств. Подчеркивается, что систематическое и продуманное внедрение аутентичных материалов делает обучение более осмысленным, мотивационно насыщенным и приближенным к реальной языковой практике, способствуя развитию у школьников не только языковых, но и когнитивных, культурных и социальных навыков.</w:t>
      </w:r>
    </w:p>
    <w:p w:rsidR="00AD48C8" w:rsidRDefault="00AD48C8" w:rsidP="00AD48C8">
      <w:pPr>
        <w:pStyle w:val="a7"/>
      </w:pPr>
      <w:proofErr w:type="gramStart"/>
      <w:r>
        <w:rPr>
          <w:spacing w:val="43"/>
        </w:rPr>
        <w:t xml:space="preserve">Ключевые слова: </w:t>
      </w:r>
      <w:r>
        <w:t>аутентичные материалы; иностранный язык; коммуникативная компетенция; образовательный процесс; адаптация текстов; социокультурные особенности; мотивация учащихся; методика преподавания; языковая среда.</w:t>
      </w:r>
      <w:proofErr w:type="gramEnd"/>
    </w:p>
    <w:p w:rsidR="00AD48C8" w:rsidRDefault="00AD48C8" w:rsidP="00AD48C8">
      <w:pPr>
        <w:pStyle w:val="a7"/>
      </w:pPr>
    </w:p>
    <w:p w:rsidR="00AD48C8" w:rsidRPr="00A04832" w:rsidRDefault="00AD48C8" w:rsidP="00AD48C8">
      <w:pPr>
        <w:pStyle w:val="a8"/>
        <w:rPr>
          <w:lang w:val="en-US"/>
        </w:rPr>
      </w:pPr>
      <w:r w:rsidRPr="00A04832">
        <w:rPr>
          <w:lang w:val="en-US"/>
        </w:rPr>
        <w:t>Using authentic materials in English lessons</w:t>
      </w:r>
    </w:p>
    <w:p w:rsidR="00AD48C8" w:rsidRPr="00A04832" w:rsidRDefault="00AD48C8" w:rsidP="00AD48C8">
      <w:pPr>
        <w:pStyle w:val="a9"/>
        <w:rPr>
          <w:lang w:val="en-US"/>
        </w:rPr>
      </w:pPr>
      <w:proofErr w:type="spellStart"/>
      <w:r w:rsidRPr="00A04832">
        <w:rPr>
          <w:lang w:val="en-US"/>
        </w:rPr>
        <w:t>Soloveva</w:t>
      </w:r>
      <w:proofErr w:type="spellEnd"/>
      <w:r w:rsidRPr="00A04832">
        <w:rPr>
          <w:lang w:val="en-US"/>
        </w:rPr>
        <w:t xml:space="preserve"> Inga S.,</w:t>
      </w:r>
    </w:p>
    <w:p w:rsidR="00AD48C8" w:rsidRPr="00A04832" w:rsidRDefault="00AD48C8" w:rsidP="00AD48C8">
      <w:pPr>
        <w:pStyle w:val="aa"/>
        <w:rPr>
          <w:lang w:val="en-US"/>
        </w:rPr>
      </w:pPr>
      <w:r w:rsidRPr="00A04832">
        <w:rPr>
          <w:lang w:val="en-US"/>
        </w:rPr>
        <w:t>English Teacher, Secondary School No.68, Tyumen, Russia, inga.solovyeva@mail.ru</w:t>
      </w:r>
    </w:p>
    <w:p w:rsidR="00AD48C8" w:rsidRPr="00A04832" w:rsidRDefault="00AD48C8" w:rsidP="00AD48C8">
      <w:pPr>
        <w:pStyle w:val="a7"/>
        <w:rPr>
          <w:lang w:val="en-US"/>
        </w:rPr>
      </w:pPr>
      <w:r w:rsidRPr="00A04832">
        <w:rPr>
          <w:lang w:val="en-US"/>
        </w:rPr>
        <w:t>The article explores the relevance of using authentic materials in teaching English in the context of modern educational realities. The author analyzes the impact of socio-economic changes on the redefinition of foreign language teaching goals and emphasizes the importance of developing students’ communicative and intercultural competence. Special attention is given to the concept of authenticity in pedagogy, various classifications and levels of authentic materials, as well as methods for their effective application in the classroom. The author examines the pedagogical potential of authentic language resources and shows ways of integrating them into the educational process, taking into account the learning objectives and the level of language proficiency of the students. The article highlights the benefits and potential challenges of working with original sources and provides practical examples of the adaptation of complex texts, including the use of visual and lexical tools. It emphasizes that the systematic and well-planned use of authentic materials makes the learning process more meaningful, engaging and closer to real-life language practice, contributing to the development not only of students’ language skills but also of their cognitive, cultural and social competences.</w:t>
      </w:r>
    </w:p>
    <w:p w:rsidR="00AD48C8" w:rsidRPr="00A04832" w:rsidRDefault="00AD48C8" w:rsidP="00AD48C8">
      <w:pPr>
        <w:pStyle w:val="a7"/>
        <w:rPr>
          <w:lang w:val="en-US"/>
        </w:rPr>
      </w:pPr>
      <w:r w:rsidRPr="00A04832">
        <w:rPr>
          <w:spacing w:val="43"/>
          <w:lang w:val="en-US"/>
        </w:rPr>
        <w:t>Keywords</w:t>
      </w:r>
      <w:r w:rsidRPr="00A04832">
        <w:rPr>
          <w:lang w:val="en-US"/>
        </w:rPr>
        <w:t>: authentic materials; foreign language; communicative competence; educational process; text adaptation; sociocultural features; student motivation; teaching methodology; language environment.</w:t>
      </w:r>
    </w:p>
    <w:p w:rsidR="00A04832" w:rsidRDefault="00A04832" w:rsidP="00A04832">
      <w:pPr>
        <w:pStyle w:val="a3"/>
      </w:pPr>
      <w:r>
        <w:t>УДК 330</w:t>
      </w:r>
    </w:p>
    <w:p w:rsidR="00A04832" w:rsidRDefault="00A04832" w:rsidP="00A04832">
      <w:pPr>
        <w:pStyle w:val="a4"/>
      </w:pPr>
      <w:r>
        <w:t>Назад в офлайн: трансформация индустрии событий после пандемии и роль онлайн-опыта</w:t>
      </w:r>
    </w:p>
    <w:p w:rsidR="00A04832" w:rsidRDefault="00A04832" w:rsidP="00A04832">
      <w:pPr>
        <w:pStyle w:val="a5"/>
      </w:pPr>
      <w:r>
        <w:t>Ткаченко Влада Андреевна,</w:t>
      </w:r>
    </w:p>
    <w:p w:rsidR="00A04832" w:rsidRDefault="00A04832" w:rsidP="00A04832">
      <w:pPr>
        <w:pStyle w:val="a6"/>
      </w:pPr>
      <w:proofErr w:type="spellStart"/>
      <w:r>
        <w:t>самозанятый</w:t>
      </w:r>
      <w:proofErr w:type="spellEnd"/>
      <w:r>
        <w:t xml:space="preserve"> </w:t>
      </w:r>
      <w:proofErr w:type="spellStart"/>
      <w:r>
        <w:t>ивент</w:t>
      </w:r>
      <w:proofErr w:type="spellEnd"/>
      <w:r>
        <w:t>-менеджер, Москва, Россия, tkavlada@gmail.com</w:t>
      </w:r>
    </w:p>
    <w:p w:rsidR="00A04832" w:rsidRDefault="00A04832" w:rsidP="00A04832">
      <w:pPr>
        <w:pStyle w:val="a7"/>
      </w:pPr>
      <w:r>
        <w:lastRenderedPageBreak/>
        <w:t xml:space="preserve">В статье анализируются изменения, произошедшие в индустрии событий в результате пандемии COVID-19, с акцентом на трансформации форматов, поведенческих установок аудитории и профессиональной роли организаторов. Исследуется влияние пандемии как катализатора цифровизации, приводящего к повсеместному распространению онлайн и гибридных решений. Рассматривается феномен цифровой усталости и рост требований аудитории к качеству, индивидуализации и комфорту событий. Особое внимание уделяется гибридным форматам как новой устойчивой модели организации мероприятий, а также изменению функционала организатора, который приобретает черты цифрового медиатора и стратегического проектировщика пользовательского опыта. Приведен международный опыт </w:t>
      </w:r>
      <w:proofErr w:type="spellStart"/>
      <w:r>
        <w:t>постпандемийной</w:t>
      </w:r>
      <w:proofErr w:type="spellEnd"/>
      <w:r>
        <w:t xml:space="preserve"> трансформации отрасли, демонстрирующий универсальность тенденций и важность технологической адаптивности. Делается вывод о формировании новой событийной среды, интегрирующей цифровые инструменты, ориентированной на гибкость, вовлеченность и ценностное взаимодействие.</w:t>
      </w:r>
    </w:p>
    <w:p w:rsidR="00A04832" w:rsidRDefault="00A04832" w:rsidP="00A04832">
      <w:pPr>
        <w:pStyle w:val="a7"/>
      </w:pPr>
      <w:r>
        <w:rPr>
          <w:spacing w:val="43"/>
        </w:rPr>
        <w:t>Ключевые слова</w:t>
      </w:r>
      <w:r>
        <w:t>: индустрия событий; гибридные форматы; цифровая трансформация; пандемия COVID-19; цифровая усталость; поведение аудитории; цифровые компетенции; онлайн-мероприятия; UX; событийный менеджмент.</w:t>
      </w:r>
    </w:p>
    <w:p w:rsidR="00A04832" w:rsidRDefault="00A04832" w:rsidP="00A04832">
      <w:pPr>
        <w:pStyle w:val="a7"/>
      </w:pPr>
    </w:p>
    <w:p w:rsidR="00A04832" w:rsidRPr="00A04832" w:rsidRDefault="00A04832" w:rsidP="00A04832">
      <w:pPr>
        <w:pStyle w:val="a8"/>
        <w:rPr>
          <w:lang w:val="en-US"/>
        </w:rPr>
      </w:pPr>
      <w:r w:rsidRPr="00A04832">
        <w:rPr>
          <w:lang w:val="en-US"/>
        </w:rPr>
        <w:t>Back to Offline: The Transformation of the Events Industry After the Pandemic and the Role of Online Experiences</w:t>
      </w:r>
    </w:p>
    <w:p w:rsidR="00A04832" w:rsidRPr="00A04832" w:rsidRDefault="00A04832" w:rsidP="00A04832">
      <w:pPr>
        <w:pStyle w:val="a9"/>
        <w:rPr>
          <w:lang w:val="en-US"/>
        </w:rPr>
      </w:pPr>
      <w:proofErr w:type="spellStart"/>
      <w:proofErr w:type="gramStart"/>
      <w:r w:rsidRPr="00A04832">
        <w:rPr>
          <w:lang w:val="en-US"/>
        </w:rPr>
        <w:t>Tkachenko</w:t>
      </w:r>
      <w:proofErr w:type="spellEnd"/>
      <w:r w:rsidRPr="00A04832">
        <w:rPr>
          <w:lang w:val="en-US"/>
        </w:rPr>
        <w:t xml:space="preserve"> </w:t>
      </w:r>
      <w:proofErr w:type="spellStart"/>
      <w:r w:rsidRPr="00A04832">
        <w:rPr>
          <w:lang w:val="en-US"/>
        </w:rPr>
        <w:t>Vlada</w:t>
      </w:r>
      <w:proofErr w:type="spellEnd"/>
      <w:r w:rsidRPr="00A04832">
        <w:rPr>
          <w:lang w:val="en-US"/>
        </w:rPr>
        <w:t xml:space="preserve"> A.,</w:t>
      </w:r>
      <w:proofErr w:type="gramEnd"/>
    </w:p>
    <w:p w:rsidR="00A04832" w:rsidRPr="00A04832" w:rsidRDefault="00A04832" w:rsidP="00A04832">
      <w:pPr>
        <w:pStyle w:val="aa"/>
        <w:rPr>
          <w:lang w:val="en-US"/>
        </w:rPr>
      </w:pPr>
      <w:r w:rsidRPr="00A04832">
        <w:rPr>
          <w:lang w:val="en-US"/>
        </w:rPr>
        <w:t>Self-employed event manager, Moscow, Russia, tkavlada@gmail.com</w:t>
      </w:r>
    </w:p>
    <w:p w:rsidR="00A04832" w:rsidRPr="00A04832" w:rsidRDefault="00A04832" w:rsidP="00A04832">
      <w:pPr>
        <w:pStyle w:val="a7"/>
        <w:rPr>
          <w:lang w:val="en-US"/>
        </w:rPr>
      </w:pPr>
      <w:r w:rsidRPr="00A04832">
        <w:rPr>
          <w:lang w:val="en-US"/>
        </w:rPr>
        <w:t>The article analyzes the changes that occurred in the event industry as a result of the COVID-19 pandemic, with a focus on the transformation of event formats, audience behavior patterns, and the professional role of organizers. The study examines the pandemic's impact as a catalyst for digitalization, leading to the widespread adoption of online and hybrid formats. It explores the phenomenon of digital fatigue and the growing audience demands for quality, personalization, and comfort. Particular attention is given to hybrid formats as a new sustainable model for event organization, as well as to the evolving role of event organizers, who are increasingly acting as digital mediators and strategic designers of user experience. The article also presents international cases of post-pandemic transformation, highlighting the universality of emerging trends and the importance of technological adaptability. The findings confirm the formation of a new event environment that integrates digital tools and is oriented toward flexibility, engagement, and value-driven interaction.</w:t>
      </w:r>
    </w:p>
    <w:p w:rsidR="00A04832" w:rsidRPr="00A04832" w:rsidRDefault="00A04832" w:rsidP="00A04832">
      <w:pPr>
        <w:pStyle w:val="a7"/>
        <w:rPr>
          <w:lang w:val="en-US"/>
        </w:rPr>
      </w:pPr>
      <w:r w:rsidRPr="00A04832">
        <w:rPr>
          <w:spacing w:val="43"/>
          <w:lang w:val="en-US"/>
        </w:rPr>
        <w:t>Keywords</w:t>
      </w:r>
      <w:r w:rsidRPr="00A04832">
        <w:rPr>
          <w:lang w:val="en-US"/>
        </w:rPr>
        <w:t>: event industry; hybrid formats; digital transformation; COVID-19 pandemic; digital fatigue; audience behavior; digital competencies; online events; UX; event management.</w:t>
      </w:r>
    </w:p>
    <w:p w:rsidR="00A04832" w:rsidRDefault="00A04832" w:rsidP="00A04832">
      <w:pPr>
        <w:pStyle w:val="a3"/>
      </w:pPr>
      <w:r>
        <w:t>УДК 332</w:t>
      </w:r>
    </w:p>
    <w:p w:rsidR="00A04832" w:rsidRDefault="00A04832" w:rsidP="00A04832">
      <w:pPr>
        <w:pStyle w:val="a4"/>
      </w:pPr>
      <w:r>
        <w:t xml:space="preserve">Региональная социально-экономическая политика и векторы ее совершенствования, ориентированные на повышение качества жизни граждан </w:t>
      </w:r>
    </w:p>
    <w:p w:rsidR="00A04832" w:rsidRDefault="00A04832" w:rsidP="00A04832">
      <w:pPr>
        <w:pStyle w:val="a5"/>
      </w:pPr>
      <w:r>
        <w:t>Ахметов А. И.,</w:t>
      </w:r>
    </w:p>
    <w:p w:rsidR="00A04832" w:rsidRDefault="00A04832" w:rsidP="00A04832">
      <w:pPr>
        <w:pStyle w:val="a6"/>
      </w:pPr>
      <w:r>
        <w:t>Российский университет кооперации, Мытищи, Россия, AkhmetovAmir.M@yandex.ru</w:t>
      </w:r>
    </w:p>
    <w:p w:rsidR="00A04832" w:rsidRDefault="00A04832" w:rsidP="00A04832">
      <w:pPr>
        <w:pStyle w:val="a7"/>
      </w:pPr>
      <w:r>
        <w:t xml:space="preserve">В статье рассматривается роль социально-экономической политики для обеспечения выполнения целевых индикаторов регионального развития. Дано авторское определение региональной социально-экономической политики и выделены факторы, которые следует учесть при формировании социально ориентированной модели региональной экономической системы.  Предложена концептуальная модель региональной социально-экономической </w:t>
      </w:r>
      <w:proofErr w:type="gramStart"/>
      <w:r>
        <w:t>политики для решения задач повышения качества жизни граждан</w:t>
      </w:r>
      <w:proofErr w:type="gramEnd"/>
      <w:r>
        <w:t>. Сделан вывод о необходимости руководства принципами устойчивого развития при формировании векторов регионального развития и социальной политики, а также выделен перечень критериев, которые могут служить ориентиром для оценки эффективности мероприятий, направленных на повышение качества жизни граждан.</w:t>
      </w:r>
    </w:p>
    <w:p w:rsidR="00A04832" w:rsidRDefault="00A04832" w:rsidP="00A04832">
      <w:pPr>
        <w:pStyle w:val="a7"/>
      </w:pPr>
      <w:r>
        <w:rPr>
          <w:spacing w:val="43"/>
        </w:rPr>
        <w:t>Ключевые слова</w:t>
      </w:r>
      <w:r>
        <w:t xml:space="preserve">: качество жизни граждан; показатели эффективности; региональное развитие; социально-экономическая политика региона. </w:t>
      </w:r>
    </w:p>
    <w:p w:rsidR="00A04832" w:rsidRDefault="00A04832" w:rsidP="00A04832">
      <w:pPr>
        <w:pStyle w:val="a7"/>
      </w:pPr>
    </w:p>
    <w:p w:rsidR="00A04832" w:rsidRPr="00A04832" w:rsidRDefault="00A04832" w:rsidP="00A04832">
      <w:pPr>
        <w:pStyle w:val="a8"/>
        <w:rPr>
          <w:lang w:val="en-US"/>
        </w:rPr>
      </w:pPr>
      <w:r w:rsidRPr="00A04832">
        <w:rPr>
          <w:lang w:val="en-US"/>
        </w:rPr>
        <w:lastRenderedPageBreak/>
        <w:t xml:space="preserve">Regional socio-economic policy and its improvement vectors aimed at improving the quality </w:t>
      </w:r>
      <w:r w:rsidRPr="00A04832">
        <w:rPr>
          <w:lang w:val="en-US"/>
        </w:rPr>
        <w:br/>
        <w:t>of life of citizens</w:t>
      </w:r>
    </w:p>
    <w:p w:rsidR="00A04832" w:rsidRPr="00A04832" w:rsidRDefault="00A04832" w:rsidP="00A04832">
      <w:pPr>
        <w:pStyle w:val="a9"/>
        <w:rPr>
          <w:lang w:val="en-US"/>
        </w:rPr>
      </w:pPr>
      <w:proofErr w:type="spellStart"/>
      <w:r w:rsidRPr="00A04832">
        <w:rPr>
          <w:lang w:val="en-US"/>
        </w:rPr>
        <w:t>Akhmetov</w:t>
      </w:r>
      <w:proofErr w:type="spellEnd"/>
      <w:r w:rsidRPr="00A04832">
        <w:rPr>
          <w:lang w:val="en-US"/>
        </w:rPr>
        <w:t xml:space="preserve"> A. I</w:t>
      </w:r>
      <w:proofErr w:type="gramStart"/>
      <w:r w:rsidRPr="00A04832">
        <w:rPr>
          <w:lang w:val="en-US"/>
        </w:rPr>
        <w:t>.,</w:t>
      </w:r>
      <w:proofErr w:type="gramEnd"/>
    </w:p>
    <w:p w:rsidR="00A04832" w:rsidRPr="00A04832" w:rsidRDefault="00A04832" w:rsidP="00A04832">
      <w:pPr>
        <w:pStyle w:val="aa"/>
        <w:rPr>
          <w:spacing w:val="-2"/>
          <w:lang w:val="en-US"/>
        </w:rPr>
      </w:pPr>
      <w:r w:rsidRPr="00A04832">
        <w:rPr>
          <w:spacing w:val="-2"/>
          <w:lang w:val="en-US"/>
        </w:rPr>
        <w:t xml:space="preserve">Russian University of Cooperation, </w:t>
      </w:r>
      <w:proofErr w:type="spellStart"/>
      <w:r w:rsidRPr="00A04832">
        <w:rPr>
          <w:spacing w:val="-2"/>
          <w:lang w:val="en-US"/>
        </w:rPr>
        <w:t>Mytishchi</w:t>
      </w:r>
      <w:proofErr w:type="spellEnd"/>
      <w:r w:rsidRPr="00A04832">
        <w:rPr>
          <w:spacing w:val="-2"/>
          <w:lang w:val="en-US"/>
        </w:rPr>
        <w:t>, Russia, AkhmetovAmir.M@yandex.ru</w:t>
      </w:r>
    </w:p>
    <w:p w:rsidR="00A04832" w:rsidRPr="00A04832" w:rsidRDefault="00A04832" w:rsidP="00A04832">
      <w:pPr>
        <w:pStyle w:val="a7"/>
        <w:rPr>
          <w:lang w:val="en-US"/>
        </w:rPr>
      </w:pPr>
      <w:r w:rsidRPr="00A04832">
        <w:rPr>
          <w:lang w:val="en-US"/>
        </w:rPr>
        <w:t xml:space="preserve">The article examines the role of socio-economic policy to ensure the implementation of target indicators of regional development. Based on the synthesis of representations of the essence of the concept itself in the works of scientists, as well as taking into account modern regional development trends, the author's definition of regional socio-economic policy is presented and the factors that should be taken into account when forming a socially oriented model of the regional economic system are highlighted. A conceptual model of regional socio-economic policy is proposed to address the challenges of improving the quality of life of citizens. The conclusion is made about the need to guide the principles of sustainable development in shaping the vectors of regional development and social policy, and a list of criteria is highlighted that can serve as a guideline for evaluating the effectiveness of measures aimed at improving the quality of life of citizens. </w:t>
      </w:r>
    </w:p>
    <w:p w:rsidR="00A04832" w:rsidRPr="00A04832" w:rsidRDefault="00A04832" w:rsidP="00A04832">
      <w:pPr>
        <w:pStyle w:val="a7"/>
        <w:rPr>
          <w:lang w:val="en-US"/>
        </w:rPr>
      </w:pPr>
      <w:r w:rsidRPr="00A04832">
        <w:rPr>
          <w:spacing w:val="43"/>
          <w:lang w:val="en-US"/>
        </w:rPr>
        <w:t>Keywords</w:t>
      </w:r>
      <w:r w:rsidRPr="00A04832">
        <w:rPr>
          <w:lang w:val="en-US"/>
        </w:rPr>
        <w:t>: quality of life of citizens; performance indicators; regional development; socio-economic policy of the region.</w:t>
      </w:r>
    </w:p>
    <w:p w:rsidR="00A04832" w:rsidRPr="00A04832" w:rsidRDefault="00A04832" w:rsidP="00A04832">
      <w:pPr>
        <w:pStyle w:val="a3"/>
        <w:rPr>
          <w:lang w:val="ru-RU"/>
        </w:rPr>
      </w:pPr>
      <w:r w:rsidRPr="00A04832">
        <w:rPr>
          <w:lang w:val="ru-RU"/>
        </w:rPr>
        <w:t>УДК 338</w:t>
      </w:r>
    </w:p>
    <w:p w:rsidR="00A04832" w:rsidRDefault="00A04832" w:rsidP="00A04832">
      <w:pPr>
        <w:pStyle w:val="a4"/>
      </w:pPr>
      <w:r>
        <w:t xml:space="preserve">Теоретические и методические аспекты анализа угроз экономической безопасности </w:t>
      </w:r>
      <w:proofErr w:type="gramStart"/>
      <w:r>
        <w:t>бизнес-субъектов</w:t>
      </w:r>
      <w:proofErr w:type="gramEnd"/>
      <w:r>
        <w:t xml:space="preserve"> автомобилестроения в контексте турбулентности на внешних рынках</w:t>
      </w:r>
    </w:p>
    <w:p w:rsidR="00A04832" w:rsidRDefault="00A04832" w:rsidP="00A04832">
      <w:pPr>
        <w:pStyle w:val="a5"/>
      </w:pPr>
      <w:r>
        <w:t xml:space="preserve">Кононов Егор Андреевич, </w:t>
      </w:r>
    </w:p>
    <w:p w:rsidR="00A04832" w:rsidRDefault="00A04832" w:rsidP="00A04832">
      <w:pPr>
        <w:pStyle w:val="a6"/>
      </w:pPr>
      <w:r>
        <w:t>аспирант, Брянский государственный инженерно-технологический университет, Брянск, Россия, egor52522@mail.ru</w:t>
      </w:r>
    </w:p>
    <w:p w:rsidR="00A04832" w:rsidRDefault="00A04832" w:rsidP="00A04832">
      <w:pPr>
        <w:pStyle w:val="a7"/>
      </w:pPr>
      <w:r>
        <w:t xml:space="preserve">В статье раскрываются теоретические основы экономической безопасности в условиях деятельности промышленных предприятий. Сделан вывод о дискуссионности экономических понятий: угроза, риск и вызовы, их композиция. Представлены подходы к </w:t>
      </w:r>
      <w:proofErr w:type="spellStart"/>
      <w:r>
        <w:t>трактованию</w:t>
      </w:r>
      <w:proofErr w:type="spellEnd"/>
      <w:r>
        <w:t xml:space="preserve"> термина «угроза экономической безопасности промышленных предприятий» и изложены основные этапы алгоритма их противостоянию. Применительно к отрасли автомобилестроения проведен анализ основных параметров операционной деятельности, сделан вывод о турбулентных событиях, связанных с ситуацией на внешнем рынке. Проведен анализ основных угроз экономической безопасности предприятию, осуществляющему деятельность в сфере производства автомобилей, источники их возникновения. Особое внимание уделено методике анализа угроз, основные этапы которой построены таким образом, что учитывают отраслевую специфику и возможности применения современных методов диагностики негативных событий.</w:t>
      </w:r>
    </w:p>
    <w:p w:rsidR="00A04832" w:rsidRDefault="00A04832" w:rsidP="00A04832">
      <w:pPr>
        <w:pStyle w:val="a7"/>
      </w:pPr>
      <w:r>
        <w:rPr>
          <w:spacing w:val="43"/>
        </w:rPr>
        <w:t>Ключевые слова</w:t>
      </w:r>
      <w:r>
        <w:t>: инструменты реагирования; методика анализа; негативные факторы; угрозы экономической безопасности; риск экономической безопасности; турбулентные события;  экономическая безопасность предприятия автомобилестроения.</w:t>
      </w:r>
    </w:p>
    <w:p w:rsidR="00A04832" w:rsidRDefault="00A04832" w:rsidP="00A04832">
      <w:pPr>
        <w:pStyle w:val="a7"/>
      </w:pPr>
    </w:p>
    <w:p w:rsidR="00A04832" w:rsidRPr="00A04832" w:rsidRDefault="00A04832" w:rsidP="00A04832">
      <w:pPr>
        <w:pStyle w:val="a8"/>
        <w:rPr>
          <w:lang w:val="en-US"/>
        </w:rPr>
      </w:pPr>
      <w:r w:rsidRPr="00A04832">
        <w:rPr>
          <w:lang w:val="en-US"/>
        </w:rPr>
        <w:t>Theoretical and methodological aspects of the analysis of threats to the economic security of automotive business entities in the context of turbulence in foreign markets</w:t>
      </w:r>
    </w:p>
    <w:p w:rsidR="00A04832" w:rsidRPr="00A04832" w:rsidRDefault="00A04832" w:rsidP="00A04832">
      <w:pPr>
        <w:pStyle w:val="a9"/>
        <w:rPr>
          <w:lang w:val="en-US"/>
        </w:rPr>
      </w:pPr>
      <w:proofErr w:type="spellStart"/>
      <w:proofErr w:type="gramStart"/>
      <w:r w:rsidRPr="00A04832">
        <w:rPr>
          <w:lang w:val="en-US"/>
        </w:rPr>
        <w:t>Kononov</w:t>
      </w:r>
      <w:proofErr w:type="spellEnd"/>
      <w:r w:rsidRPr="00A04832">
        <w:rPr>
          <w:lang w:val="en-US"/>
        </w:rPr>
        <w:t xml:space="preserve"> </w:t>
      </w:r>
      <w:proofErr w:type="spellStart"/>
      <w:r w:rsidRPr="00A04832">
        <w:rPr>
          <w:lang w:val="en-US"/>
        </w:rPr>
        <w:t>Egor</w:t>
      </w:r>
      <w:proofErr w:type="spellEnd"/>
      <w:r w:rsidRPr="00A04832">
        <w:rPr>
          <w:lang w:val="en-US"/>
        </w:rPr>
        <w:t xml:space="preserve"> A.,</w:t>
      </w:r>
      <w:proofErr w:type="gramEnd"/>
      <w:r w:rsidRPr="00A04832">
        <w:rPr>
          <w:lang w:val="en-US"/>
        </w:rPr>
        <w:t xml:space="preserve"> </w:t>
      </w:r>
    </w:p>
    <w:p w:rsidR="00A04832" w:rsidRPr="00A04832" w:rsidRDefault="00A04832" w:rsidP="00A04832">
      <w:pPr>
        <w:pStyle w:val="aa"/>
        <w:rPr>
          <w:lang w:val="en-US"/>
        </w:rPr>
      </w:pPr>
      <w:proofErr w:type="gramStart"/>
      <w:r w:rsidRPr="00A04832">
        <w:rPr>
          <w:lang w:val="en-US"/>
        </w:rPr>
        <w:t>graduate</w:t>
      </w:r>
      <w:proofErr w:type="gramEnd"/>
      <w:r w:rsidRPr="00A04832">
        <w:rPr>
          <w:lang w:val="en-US"/>
        </w:rPr>
        <w:t xml:space="preserve"> student, Bryansk State University of Engineering and Technology, Bryansk, Russia, egor52522@mail.ru</w:t>
      </w:r>
    </w:p>
    <w:p w:rsidR="00A04832" w:rsidRPr="00A04832" w:rsidRDefault="00A04832" w:rsidP="00A04832">
      <w:pPr>
        <w:pStyle w:val="a7"/>
        <w:rPr>
          <w:lang w:val="en-US"/>
        </w:rPr>
      </w:pPr>
      <w:r w:rsidRPr="00A04832">
        <w:rPr>
          <w:lang w:val="en-US"/>
        </w:rPr>
        <w:t xml:space="preserve">The scientific article reveals the theoretical foundations of the theory of threats to economic security in the context of industrial enterprises. The conclusion is made about the controversial interrelation of economic concepts: threat, </w:t>
      </w:r>
      <w:r w:rsidRPr="00A04832">
        <w:rPr>
          <w:lang w:val="en-US"/>
        </w:rPr>
        <w:lastRenderedPageBreak/>
        <w:t xml:space="preserve">risk and challenges, their composition. Approaches to the interpretation of the essence of the “threat to the economic security of industrial enterprises” are presented and the main stages of the algorithm for their confrontation are outlined. In relation to the automotive industry, the analysis of the main parameters of operational activity was carried out, and a conclusion was made about turbulent events related to the situation on the foreign market. The analysis of the main threats to economic security of an enterprise operating in the field of automobile production and their sources is carried out. Special attention is paid to the methodology of threat analysis, the main stages of which are structured in such a way that they take into account industry specifics and the possibilities of using modern methods for diagnosing negative events. </w:t>
      </w:r>
    </w:p>
    <w:p w:rsidR="00A04832" w:rsidRPr="00A04832" w:rsidRDefault="00A04832" w:rsidP="00A04832">
      <w:pPr>
        <w:pStyle w:val="a7"/>
        <w:rPr>
          <w:lang w:val="en-US"/>
        </w:rPr>
      </w:pPr>
      <w:r w:rsidRPr="00A04832">
        <w:rPr>
          <w:spacing w:val="43"/>
          <w:lang w:val="en-US"/>
        </w:rPr>
        <w:t>Keywords</w:t>
      </w:r>
      <w:r w:rsidRPr="00A04832">
        <w:rPr>
          <w:lang w:val="en-US"/>
        </w:rPr>
        <w:t>: response tools; analysis methodology; negative factors; threats to economic security; economic security risk; turbulent events; economic security of the automotive industry.</w:t>
      </w:r>
    </w:p>
    <w:p w:rsidR="00A04832" w:rsidRPr="00A04832" w:rsidRDefault="00A04832" w:rsidP="00A04832">
      <w:pPr>
        <w:pStyle w:val="a3"/>
        <w:rPr>
          <w:lang w:val="ru-RU"/>
        </w:rPr>
      </w:pPr>
      <w:r w:rsidRPr="00A04832">
        <w:rPr>
          <w:lang w:val="ru-RU"/>
        </w:rPr>
        <w:t>УДК 331</w:t>
      </w:r>
    </w:p>
    <w:p w:rsidR="00A04832" w:rsidRDefault="00A04832" w:rsidP="00A04832">
      <w:pPr>
        <w:pStyle w:val="a4"/>
      </w:pPr>
      <w:r>
        <w:t>Специфика человеческого капитала среди прочих ресурсов предприятия с инновационной деятельностью</w:t>
      </w:r>
    </w:p>
    <w:p w:rsidR="00A04832" w:rsidRDefault="00A04832" w:rsidP="00A04832">
      <w:pPr>
        <w:pStyle w:val="a5"/>
      </w:pPr>
      <w:proofErr w:type="spellStart"/>
      <w:r>
        <w:t>Тибилов</w:t>
      </w:r>
      <w:proofErr w:type="spellEnd"/>
      <w:r>
        <w:t xml:space="preserve"> Владимир Федорович,</w:t>
      </w:r>
    </w:p>
    <w:p w:rsidR="00A04832" w:rsidRDefault="00A04832" w:rsidP="00A04832">
      <w:pPr>
        <w:pStyle w:val="a6"/>
      </w:pPr>
      <w:r>
        <w:t xml:space="preserve">аспирант, Институт проблем рынка Российской академии наук </w:t>
      </w:r>
      <w:r>
        <w:br/>
        <w:t>(ИПР РАН), vltibilov@yandex.ru</w:t>
      </w:r>
    </w:p>
    <w:p w:rsidR="00A04832" w:rsidRDefault="00A04832" w:rsidP="00A04832">
      <w:pPr>
        <w:pStyle w:val="a7"/>
      </w:pPr>
      <w:r>
        <w:t xml:space="preserve">В статье поставлена цель: </w:t>
      </w:r>
      <w:proofErr w:type="gramStart"/>
      <w:r>
        <w:t>рассмотреть</w:t>
      </w:r>
      <w:proofErr w:type="gramEnd"/>
      <w:r>
        <w:t xml:space="preserve"> в чем заключается специфика человеческого капитала среди прочих ресурсов предприятия с инновационной деятельностью. В традиционной модели экономического роста хозяйствующего субъекта, человеческий капитал вообще не рассматривается в контексте развития производственного процесса. Но уже в новой теории экономического роста того же хозяйствующего субъекта, человеческому капиталу отводится заглавная роль. Именно здесь учитывается то, что уровень человеческого капитала, который включает в себя основные составляющие такие как, образование, здоровье, наука, культура, проявляется отношение предприятия к инновационной деятельности. Развивая основные составляющие человеческого капитала, предприятие одновременно осуществляет инновационную деятельность, продвигая при этом, передовые производственные процессы. Инновационная деятельность проявляется непосредственно в увеличении производительности труда, квалифицированном обслуживании высокотехнологичного оборудования, внедрении в производственный процесс инновационных технологий, способных вывести производственные процессы на более высокие уровни технологического уклада. Страна, которая занимается вопросами профессионального образования не только специалистов, но и рабочих способна в кратчайшие сроки освоить инновационные технологии и реализовать их в производственный процесс. </w:t>
      </w:r>
    </w:p>
    <w:p w:rsidR="00A04832" w:rsidRDefault="00A04832" w:rsidP="00A04832">
      <w:pPr>
        <w:pStyle w:val="a7"/>
      </w:pPr>
      <w:r>
        <w:rPr>
          <w:spacing w:val="43"/>
        </w:rPr>
        <w:t>Ключевые слова:</w:t>
      </w:r>
      <w:r>
        <w:t xml:space="preserve"> человеческий капитал; инновационная деятельность; профессиональное образование; уровни высокотехнологических укладов; инновационные технологии; производственный процесс; экономический рост. </w:t>
      </w:r>
    </w:p>
    <w:p w:rsidR="00A04832" w:rsidRDefault="00A04832" w:rsidP="00A04832">
      <w:pPr>
        <w:pStyle w:val="a7"/>
      </w:pPr>
    </w:p>
    <w:p w:rsidR="00A04832" w:rsidRPr="00A04832" w:rsidRDefault="00A04832" w:rsidP="00A04832">
      <w:pPr>
        <w:pStyle w:val="a8"/>
        <w:rPr>
          <w:lang w:val="en-US"/>
        </w:rPr>
      </w:pPr>
      <w:r w:rsidRPr="00A04832">
        <w:rPr>
          <w:lang w:val="en-US"/>
        </w:rPr>
        <w:t>The specifics of human capital among other resources of an enterprise with innovative activities</w:t>
      </w:r>
    </w:p>
    <w:p w:rsidR="00A04832" w:rsidRPr="00A04832" w:rsidRDefault="00A04832" w:rsidP="00A04832">
      <w:pPr>
        <w:pStyle w:val="a9"/>
        <w:rPr>
          <w:lang w:val="en-US"/>
        </w:rPr>
      </w:pPr>
      <w:proofErr w:type="spellStart"/>
      <w:r w:rsidRPr="00A04832">
        <w:rPr>
          <w:lang w:val="en-US"/>
        </w:rPr>
        <w:t>Tibilov</w:t>
      </w:r>
      <w:proofErr w:type="spellEnd"/>
      <w:r w:rsidRPr="00A04832">
        <w:rPr>
          <w:lang w:val="en-US"/>
        </w:rPr>
        <w:t xml:space="preserve"> Vladimir F., </w:t>
      </w:r>
    </w:p>
    <w:p w:rsidR="00A04832" w:rsidRPr="00A04832" w:rsidRDefault="00A04832" w:rsidP="00A04832">
      <w:pPr>
        <w:pStyle w:val="aa"/>
        <w:rPr>
          <w:lang w:val="en-US"/>
        </w:rPr>
      </w:pPr>
      <w:r w:rsidRPr="00A04832">
        <w:rPr>
          <w:lang w:val="en-US"/>
        </w:rPr>
        <w:t>PhD student, Institute of Market Problems of the Russian Academy of Sciences (IPR RAS), vltibilov@yandex.ru</w:t>
      </w:r>
    </w:p>
    <w:p w:rsidR="00A04832" w:rsidRPr="00A04832" w:rsidRDefault="00A04832" w:rsidP="00A04832">
      <w:pPr>
        <w:pStyle w:val="a7"/>
        <w:rPr>
          <w:lang w:val="en-US"/>
        </w:rPr>
      </w:pPr>
      <w:r w:rsidRPr="00A04832">
        <w:rPr>
          <w:lang w:val="en-US"/>
        </w:rPr>
        <w:t>The purpose of the article is to consider the specifics of human capital among other resources of an enterprise with innovative activities. In the traditional model of economic growth of an economic entity, human capital is not considered at all in the context of the development of the production process. But already in the new theory of economic growth of the same economic entity, human capital is given a major role. It takes into account the fact that the level of human capital, which includes the main components such as education, health, science, culture, shows the attitude of the enterprise to innovation. By developing the main components of human capital, the company simultaneously carries out innovative activities, while promoting advanced production processes. Innovative activity manifests itself directly in increasing labor productivity, qualified maintenance of high-tech equipment, and the introduction of innovative technologies into the production process that can bring production processes to higher levels of technological structure. A country that deals with vocational education issues not only for specialists, but also for workers, is able to adapt advanced innovative technologies much faster than a country where the workforce lags behind in vocational education.</w:t>
      </w:r>
    </w:p>
    <w:p w:rsidR="00A04832" w:rsidRPr="00A04832" w:rsidRDefault="00A04832" w:rsidP="00A04832">
      <w:pPr>
        <w:pStyle w:val="a7"/>
        <w:rPr>
          <w:lang w:val="en-US"/>
        </w:rPr>
      </w:pPr>
      <w:r w:rsidRPr="00A04832">
        <w:rPr>
          <w:spacing w:val="43"/>
          <w:lang w:val="en-US"/>
        </w:rPr>
        <w:t>Keywords</w:t>
      </w:r>
      <w:r w:rsidRPr="00A04832">
        <w:rPr>
          <w:lang w:val="en-US"/>
        </w:rPr>
        <w:t>: human capital; innovation; professional education; levels of high-tech structures; innovative technologies; production process; economic growth.</w:t>
      </w:r>
    </w:p>
    <w:p w:rsidR="00A04832" w:rsidRPr="00A04832" w:rsidRDefault="00A04832" w:rsidP="00A04832">
      <w:pPr>
        <w:pStyle w:val="a3"/>
        <w:rPr>
          <w:lang w:val="ru-RU"/>
        </w:rPr>
      </w:pPr>
      <w:r w:rsidRPr="00A04832">
        <w:rPr>
          <w:lang w:val="ru-RU"/>
        </w:rPr>
        <w:t>УДК 338</w:t>
      </w:r>
    </w:p>
    <w:p w:rsidR="00A04832" w:rsidRDefault="00A04832" w:rsidP="00A04832">
      <w:pPr>
        <w:pStyle w:val="a4"/>
        <w:rPr>
          <w:spacing w:val="-6"/>
        </w:rPr>
      </w:pPr>
      <w:r>
        <w:rPr>
          <w:spacing w:val="-6"/>
        </w:rPr>
        <w:lastRenderedPageBreak/>
        <w:t>Стратегическое значение энергоресурса лития в контексте мирового рынка редкоземельных металлов</w:t>
      </w:r>
    </w:p>
    <w:p w:rsidR="00A04832" w:rsidRDefault="00A04832" w:rsidP="00A04832">
      <w:pPr>
        <w:pStyle w:val="a5"/>
      </w:pPr>
      <w:r>
        <w:t>Идрисов Ильяс Муратович,</w:t>
      </w:r>
    </w:p>
    <w:p w:rsidR="00A04832" w:rsidRDefault="00A04832" w:rsidP="00A04832">
      <w:pPr>
        <w:pStyle w:val="a6"/>
      </w:pPr>
      <w:r>
        <w:t>магистрант факультета международной экономики, Финансовый университет при Правительстве Российской Федерации, Москва, Россия, ilyas988@yandex.ru</w:t>
      </w:r>
    </w:p>
    <w:p w:rsidR="00A04832" w:rsidRDefault="00A04832" w:rsidP="00A04832">
      <w:pPr>
        <w:pStyle w:val="a7"/>
      </w:pPr>
      <w:r>
        <w:t>Статья посвящена анализу стратегического значения лития в контексте мирового рынка редкоземельных металлов. Рассмотрены динамика производства и потребления редкоземельных элементов и лития в мире, проанализировано распределение ресурсной базы между ведущими странами. Выявлен структурный дисбаланс между географией добычи и распределением запасов. Особое внимание уделено ресурсному потенциалу и перспективам России в области добычи и переработки стратегически важного сырья. Показана роль лития и редкоземельных элементов в развитии современных технологий, в частности, электротранспорта и систем хранения энергии. Обоснована необходимость консолидации усилий государства, бизнеса и научного сообщества для реализации потенциала России на мировом рынке критически важных металлов.</w:t>
      </w:r>
    </w:p>
    <w:p w:rsidR="00A04832" w:rsidRDefault="00A04832" w:rsidP="00A04832">
      <w:pPr>
        <w:pStyle w:val="a7"/>
      </w:pPr>
      <w:proofErr w:type="gramStart"/>
      <w:r>
        <w:rPr>
          <w:spacing w:val="43"/>
        </w:rPr>
        <w:t xml:space="preserve">Ключевые слова: </w:t>
      </w:r>
      <w:r>
        <w:t>литий; редкоземельные элементы; стратегическое сырье; ресурсный потенциал; минерально-сырьевая база; литий-ионные аккумуляторы; энергетический переход; технологический суверенитет.</w:t>
      </w:r>
      <w:proofErr w:type="gramEnd"/>
    </w:p>
    <w:p w:rsidR="00A04832" w:rsidRDefault="00A04832" w:rsidP="00A04832">
      <w:pPr>
        <w:pStyle w:val="a7"/>
      </w:pPr>
    </w:p>
    <w:p w:rsidR="00A04832" w:rsidRPr="00A04832" w:rsidRDefault="00A04832" w:rsidP="00A04832">
      <w:pPr>
        <w:pStyle w:val="a8"/>
        <w:rPr>
          <w:lang w:val="en-US"/>
        </w:rPr>
      </w:pPr>
      <w:r w:rsidRPr="00A04832">
        <w:rPr>
          <w:lang w:val="en-US"/>
        </w:rPr>
        <w:t>Strategic importance of lithium energy resource in the context of the global market of rare earth metals</w:t>
      </w:r>
    </w:p>
    <w:p w:rsidR="00A04832" w:rsidRPr="00A04832" w:rsidRDefault="00A04832" w:rsidP="00A04832">
      <w:pPr>
        <w:pStyle w:val="a9"/>
        <w:rPr>
          <w:lang w:val="en-US"/>
        </w:rPr>
      </w:pPr>
      <w:proofErr w:type="spellStart"/>
      <w:r w:rsidRPr="00A04832">
        <w:rPr>
          <w:lang w:val="en-US"/>
        </w:rPr>
        <w:t>Idrisov</w:t>
      </w:r>
      <w:proofErr w:type="spellEnd"/>
      <w:r w:rsidRPr="00A04832">
        <w:rPr>
          <w:lang w:val="en-US"/>
        </w:rPr>
        <w:t xml:space="preserve"> </w:t>
      </w:r>
      <w:proofErr w:type="spellStart"/>
      <w:r w:rsidRPr="00A04832">
        <w:rPr>
          <w:lang w:val="en-US"/>
        </w:rPr>
        <w:t>Ilyas</w:t>
      </w:r>
      <w:proofErr w:type="spellEnd"/>
      <w:r w:rsidRPr="00A04832">
        <w:rPr>
          <w:lang w:val="en-US"/>
        </w:rPr>
        <w:t xml:space="preserve"> M</w:t>
      </w:r>
      <w:proofErr w:type="gramStart"/>
      <w:r w:rsidRPr="00A04832">
        <w:rPr>
          <w:lang w:val="en-US"/>
        </w:rPr>
        <w:t>.,</w:t>
      </w:r>
      <w:proofErr w:type="gramEnd"/>
    </w:p>
    <w:p w:rsidR="00A04832" w:rsidRPr="00A04832" w:rsidRDefault="00A04832" w:rsidP="00A04832">
      <w:pPr>
        <w:pStyle w:val="aa"/>
        <w:rPr>
          <w:lang w:val="en-US"/>
        </w:rPr>
      </w:pPr>
      <w:r w:rsidRPr="00A04832">
        <w:rPr>
          <w:lang w:val="en-US"/>
        </w:rPr>
        <w:t>Master’s Student at the Faculty of International Economics, Financial University under the Government of the Russian Federation, Moscow, Russia, ilyas988@yandex.ru</w:t>
      </w:r>
    </w:p>
    <w:p w:rsidR="00A04832" w:rsidRPr="00A04832" w:rsidRDefault="00A04832" w:rsidP="00A04832">
      <w:pPr>
        <w:pStyle w:val="a7"/>
        <w:rPr>
          <w:lang w:val="en-US"/>
        </w:rPr>
      </w:pPr>
      <w:r w:rsidRPr="00A04832">
        <w:rPr>
          <w:lang w:val="en-US"/>
        </w:rPr>
        <w:t xml:space="preserve">The article is devoted to the analysis of the strategic importance of lithium in the context of the global market of rare earth metals. The dynamics of production and consumption of rare earth elements and lithium in the world are considered, the distribution of the resource base between the leading countries is analyzed. A structural imbalance between the geography of production and the distribution of reserves is revealed. Particular attention is paid to the resource potential and prospects of Russia in the field of extraction and processing of strategically important raw materials. The role of lithium and rare earth elements in the development of modern technologies, in particular, </w:t>
      </w:r>
      <w:proofErr w:type="gramStart"/>
      <w:r w:rsidRPr="00A04832">
        <w:rPr>
          <w:lang w:val="en-US"/>
        </w:rPr>
        <w:t>electric transport and energy storage systems is</w:t>
      </w:r>
      <w:proofErr w:type="gramEnd"/>
      <w:r w:rsidRPr="00A04832">
        <w:rPr>
          <w:lang w:val="en-US"/>
        </w:rPr>
        <w:t xml:space="preserve"> shown. The necessity of consolidation of efforts of the state, business and scientific community for realization of Russia’s potential in the world market of critically important metals is substantiated.</w:t>
      </w:r>
    </w:p>
    <w:p w:rsidR="00A04832" w:rsidRPr="00A04832" w:rsidRDefault="00A04832" w:rsidP="00A04832">
      <w:pPr>
        <w:pStyle w:val="a7"/>
        <w:rPr>
          <w:lang w:val="en-US"/>
        </w:rPr>
      </w:pPr>
      <w:r w:rsidRPr="00A04832">
        <w:rPr>
          <w:spacing w:val="43"/>
          <w:lang w:val="en-US"/>
        </w:rPr>
        <w:t>Keywords</w:t>
      </w:r>
      <w:r w:rsidRPr="00A04832">
        <w:rPr>
          <w:lang w:val="en-US"/>
        </w:rPr>
        <w:t>: lithium; rare earth elements; strategic raw materials; resource potential; mineral resource base; lithium-ion batteries; energy transition; technological sovereignty.</w:t>
      </w:r>
    </w:p>
    <w:p w:rsidR="00A12EE2" w:rsidRPr="00AD48C8" w:rsidRDefault="00A12EE2">
      <w:pPr>
        <w:rPr>
          <w:lang w:val="en-US"/>
        </w:rPr>
      </w:pPr>
    </w:p>
    <w:sectPr w:rsidR="00A12EE2" w:rsidRPr="00AD48C8" w:rsidSect="00AD48C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F3"/>
    <w:rsid w:val="008E09F3"/>
    <w:rsid w:val="00A04832"/>
    <w:rsid w:val="00A12EE2"/>
    <w:rsid w:val="00AD48C8"/>
    <w:rsid w:val="00FE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D48C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AD48C8"/>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AD48C8"/>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AD48C8"/>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AD48C8"/>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AD48C8"/>
  </w:style>
  <w:style w:type="paragraph" w:customStyle="1" w:styleId="a9">
    <w:name w:val="Автор_англ"/>
    <w:basedOn w:val="a5"/>
    <w:uiPriority w:val="99"/>
    <w:rsid w:val="00AD48C8"/>
  </w:style>
  <w:style w:type="paragraph" w:customStyle="1" w:styleId="aa">
    <w:name w:val="автор_кандидат_англ"/>
    <w:basedOn w:val="a6"/>
    <w:uiPriority w:val="99"/>
    <w:rsid w:val="00AD4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D48C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AD48C8"/>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AD48C8"/>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AD48C8"/>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AD48C8"/>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AD48C8"/>
  </w:style>
  <w:style w:type="paragraph" w:customStyle="1" w:styleId="a9">
    <w:name w:val="Автор_англ"/>
    <w:basedOn w:val="a5"/>
    <w:uiPriority w:val="99"/>
    <w:rsid w:val="00AD48C8"/>
  </w:style>
  <w:style w:type="paragraph" w:customStyle="1" w:styleId="aa">
    <w:name w:val="автор_кандидат_англ"/>
    <w:basedOn w:val="a6"/>
    <w:uiPriority w:val="99"/>
    <w:rsid w:val="00AD4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6940</Words>
  <Characters>39558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2025-04-28T15:12:00Z</dcterms:created>
  <dcterms:modified xsi:type="dcterms:W3CDTF">2025-04-28T15:49:00Z</dcterms:modified>
</cp:coreProperties>
</file>