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67" w:rsidRDefault="004C0567" w:rsidP="004C0567">
      <w:pPr>
        <w:pStyle w:val="a3"/>
        <w:spacing w:after="0" w:line="240" w:lineRule="auto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Журнал прикладных исследований № 1.2 – 2021 г.</w:t>
      </w:r>
    </w:p>
    <w:p w:rsidR="004C0567" w:rsidRDefault="004C0567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bookmarkStart w:id="0" w:name="_GoBack"/>
      <w:bookmarkEnd w:id="0"/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2712-7516_2021_1_2_6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336.71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>УГРОЗЫ ЭКОНОМИЧЕСКОЙ БЕЗОПАСНОСТИ ФИНАНСОВОЙ СИСТЕМЫ В УСЛОВИЯХ КРИЗИСА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Корнилов Дмитрий Анатольевич, </w:t>
      </w:r>
    </w:p>
    <w:p w:rsidR="005272A0" w:rsidRPr="005272A0" w:rsidRDefault="005272A0" w:rsidP="005272A0">
      <w:pPr>
        <w:pStyle w:val="a6"/>
        <w:spacing w:after="0"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доктор экономических наук, доцент, профессор кафедры управления инновационной деятельностью, Нижегородский государственный технический университет им. Р. Е. Алексеева, Россия, г. Нижний Новгород, </w:t>
      </w:r>
      <w:r w:rsidRPr="005272A0">
        <w:rPr>
          <w:rFonts w:ascii="Times New Roman" w:hAnsi="Times New Roman" w:cs="Times New Roman"/>
          <w:i w:val="0"/>
          <w:sz w:val="28"/>
          <w:szCs w:val="28"/>
        </w:rPr>
        <w:br/>
      </w:r>
      <w:proofErr w:type="gramStart"/>
      <w:r w:rsidRPr="005272A0">
        <w:rPr>
          <w:rFonts w:ascii="Times New Roman" w:hAnsi="Times New Roman" w:cs="Times New Roman"/>
          <w:i w:val="0"/>
          <w:sz w:val="28"/>
          <w:szCs w:val="28"/>
        </w:rPr>
        <w:t>е</w:t>
      </w:r>
      <w:proofErr w:type="gramEnd"/>
      <w:r w:rsidRPr="005272A0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>: kornilov-d@yandex.ru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Митякова Ольга Игоревна, </w:t>
      </w:r>
    </w:p>
    <w:p w:rsidR="005272A0" w:rsidRPr="005272A0" w:rsidRDefault="005272A0" w:rsidP="005272A0">
      <w:pPr>
        <w:pStyle w:val="a6"/>
        <w:spacing w:after="0"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доктор экономических наук, доцент, профессор кафедры управления инновационной деятельностью, Нижегородский государственный технический университет им. Р. Е. Алексеева, Россия, г. Нижний Новгород, </w:t>
      </w:r>
      <w:r w:rsidRPr="005272A0">
        <w:rPr>
          <w:rFonts w:ascii="Times New Roman" w:hAnsi="Times New Roman" w:cs="Times New Roman"/>
          <w:i w:val="0"/>
          <w:sz w:val="28"/>
          <w:szCs w:val="28"/>
        </w:rPr>
        <w:br/>
      </w:r>
      <w:proofErr w:type="gramStart"/>
      <w:r w:rsidRPr="005272A0">
        <w:rPr>
          <w:rFonts w:ascii="Times New Roman" w:hAnsi="Times New Roman" w:cs="Times New Roman"/>
          <w:i w:val="0"/>
          <w:sz w:val="28"/>
          <w:szCs w:val="28"/>
        </w:rPr>
        <w:t>е</w:t>
      </w:r>
      <w:proofErr w:type="gramEnd"/>
      <w:r w:rsidRPr="005272A0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>: omityakova@list.ru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Рамазанов </w:t>
      </w: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Сейфуллах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Агаевич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272A0" w:rsidRPr="005272A0" w:rsidRDefault="005272A0" w:rsidP="005272A0">
      <w:pPr>
        <w:pStyle w:val="a6"/>
        <w:spacing w:after="0"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доктор экономических наук, профессор, профессор кафедры цифровой экономики, Нижегородский государственный технический университет им. Р. Е. Алексеева, Россия, г. Нижний Новгород, </w:t>
      </w:r>
      <w:proofErr w:type="gramStart"/>
      <w:r w:rsidRPr="005272A0">
        <w:rPr>
          <w:rFonts w:ascii="Times New Roman" w:hAnsi="Times New Roman" w:cs="Times New Roman"/>
          <w:i w:val="0"/>
          <w:sz w:val="28"/>
          <w:szCs w:val="28"/>
        </w:rPr>
        <w:t>е</w:t>
      </w:r>
      <w:proofErr w:type="gramEnd"/>
      <w:r w:rsidRPr="005272A0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>: ram-nn@yandex.ru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Фролова Марина Михайловна, </w:t>
      </w:r>
    </w:p>
    <w:p w:rsidR="005272A0" w:rsidRDefault="005272A0" w:rsidP="005272A0">
      <w:pPr>
        <w:pStyle w:val="a6"/>
        <w:spacing w:after="0"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кандидат экономических наук, доцент, доцент кафедры управления инновационной деятельностью, Нижегородский государственный технический университет им. Р. Е. Алексеева, Россия, г. Нижний Новгород, </w:t>
      </w:r>
      <w:r w:rsidRPr="005272A0">
        <w:rPr>
          <w:rFonts w:ascii="Times New Roman" w:hAnsi="Times New Roman" w:cs="Times New Roman"/>
          <w:i w:val="0"/>
          <w:sz w:val="28"/>
          <w:szCs w:val="28"/>
        </w:rPr>
        <w:br/>
      </w:r>
      <w:proofErr w:type="gramStart"/>
      <w:r w:rsidRPr="005272A0">
        <w:rPr>
          <w:rFonts w:ascii="Times New Roman" w:hAnsi="Times New Roman" w:cs="Times New Roman"/>
          <w:i w:val="0"/>
          <w:sz w:val="28"/>
          <w:szCs w:val="28"/>
        </w:rPr>
        <w:t>е</w:t>
      </w:r>
      <w:proofErr w:type="gramEnd"/>
      <w:r w:rsidRPr="005272A0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5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Fmm13@yandex.ru</w:t>
        </w:r>
      </w:hyperlink>
    </w:p>
    <w:p w:rsidR="005272A0" w:rsidRPr="005272A0" w:rsidRDefault="005272A0" w:rsidP="005272A0">
      <w:pPr>
        <w:pStyle w:val="a6"/>
        <w:spacing w:after="0"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t xml:space="preserve">В 2020 г. мир столкнулся с пандемией нового вируса COVID-19, оказавшей негативное влияние на экономическое развитие стран, обусловив появление новых рисков и угроз экономической безопасности. Статья посвящена оценке влияния антикризисных мер, принимаемых центральными (национальными) банками разных стран, на безопасность финансовой сферы. Обзор мер денежно-кредитной политики показал, что большинство стран прибегали к предоставлению дополнительной ликвидности финансовым рынкам, покупке активов центральными банками путем наращения эмиссии безналичных денежных средств, снижению ключевых ставок (вплоть до отрицательных значений), а также продолжению политики количественного смягчения. Делается вывод, что меры, принимаемые финансовыми регуляторами большинства стран мира для борьбы с пандемией, привели к колоссальному </w:t>
      </w:r>
      <w:r w:rsidRPr="005272A0">
        <w:rPr>
          <w:rFonts w:ascii="Times New Roman" w:hAnsi="Times New Roman" w:cs="Times New Roman"/>
          <w:sz w:val="28"/>
          <w:szCs w:val="28"/>
        </w:rPr>
        <w:lastRenderedPageBreak/>
        <w:t>росту государственного долга, ставя под угрозу экономическую безопасность мировой финансовой системы.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5272A0">
        <w:rPr>
          <w:rFonts w:ascii="Times New Roman" w:hAnsi="Times New Roman" w:cs="Times New Roman"/>
          <w:sz w:val="28"/>
          <w:szCs w:val="28"/>
        </w:rPr>
        <w:t>: экономическая безопасность; финансовая система; денежно-кредитная политика; баланс центрального банка; ликвидность финансового рынка; политика количественного смягчения; государственный долг; политика отрицательных ставок; пандемия COVID-19.</w:t>
      </w:r>
    </w:p>
    <w:p w:rsidR="005A57F3" w:rsidRPr="005272A0" w:rsidRDefault="005A57F3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2712-7516_2021_1_2_15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339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Вопросы развития глобальной индустрии моды </w:t>
      </w:r>
      <w:r w:rsidRPr="005272A0">
        <w:rPr>
          <w:rFonts w:ascii="Times New Roman" w:hAnsi="Times New Roman" w:cs="Times New Roman"/>
          <w:b w:val="0"/>
          <w:sz w:val="28"/>
          <w:szCs w:val="28"/>
        </w:rPr>
        <w:br/>
        <w:t>в условиях цифровой трансформации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Долженко Игорь Борисович,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заместитель генерального директор</w:t>
      </w:r>
      <w:proofErr w:type="gramStart"/>
      <w:r w:rsidRPr="005272A0">
        <w:rPr>
          <w:rFonts w:ascii="Times New Roman" w:hAnsi="Times New Roman" w:cs="Times New Roman"/>
          <w:i w:val="0"/>
          <w:sz w:val="28"/>
          <w:szCs w:val="28"/>
        </w:rPr>
        <w:t>а ООО</w:t>
      </w:r>
      <w:proofErr w:type="gram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Фэшн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 Групп», Россия, г. Москва,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6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primestyle@mail.ru</w:t>
        </w:r>
      </w:hyperlink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t xml:space="preserve">В статье исследуются вопросы развития глобальной индустрии моды в условиях цифровой трансформации, которая предполагает соответствующую адаптацию в </w:t>
      </w:r>
      <w:proofErr w:type="gramStart"/>
      <w:r w:rsidRPr="005272A0">
        <w:rPr>
          <w:rFonts w:ascii="Times New Roman" w:hAnsi="Times New Roman" w:cs="Times New Roman"/>
          <w:sz w:val="28"/>
          <w:szCs w:val="28"/>
        </w:rPr>
        <w:t>бизнес-моделях</w:t>
      </w:r>
      <w:proofErr w:type="gramEnd"/>
      <w:r w:rsidRPr="005272A0">
        <w:rPr>
          <w:rFonts w:ascii="Times New Roman" w:hAnsi="Times New Roman" w:cs="Times New Roman"/>
          <w:sz w:val="28"/>
          <w:szCs w:val="28"/>
        </w:rPr>
        <w:t xml:space="preserve">, системах и навыках. Отмечается, что цифровая трансформация оказывает значительное влияние на деятельность компаний индустрии моды, в частности на крупнейшие международные транснациональные корпорации (ТНК). Исследованием установлено, что масштабы цифровой экономики значительны и динамично увеличиваются, что бурное развитие информационно-коммуникационных технологий обусловило внедрение цифровых компаний в потребительский сегмент рынка, ведет к обострению конкуренции. Выделяются факторы, влияющие на глобальную индустрию моды через прорывные технологии. Отмечается, что радикально изменяются как сами компании, так и их связи с рынками, цифровая трансформация индустрии моды становится все более ключевым </w:t>
      </w:r>
      <w:proofErr w:type="gramStart"/>
      <w:r w:rsidRPr="005272A0">
        <w:rPr>
          <w:rFonts w:ascii="Times New Roman" w:hAnsi="Times New Roman" w:cs="Times New Roman"/>
          <w:sz w:val="28"/>
          <w:szCs w:val="28"/>
        </w:rPr>
        <w:t>компонентом</w:t>
      </w:r>
      <w:proofErr w:type="gramEnd"/>
      <w:r w:rsidRPr="005272A0">
        <w:rPr>
          <w:rFonts w:ascii="Times New Roman" w:hAnsi="Times New Roman" w:cs="Times New Roman"/>
          <w:sz w:val="28"/>
          <w:szCs w:val="28"/>
        </w:rPr>
        <w:t xml:space="preserve"> как с точки зрения инноваций, так и маркетинга. Делается вывод, что все больше потребителей исследуют, покупают и взаимодействуют с брендами в цифровом виде, в силу этого для компаний индустрии моды необходимо применять более новые технологии в маркетинге (аналитика больших данных,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>, Интернет вещей (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 xml:space="preserve">), мобильные технологии, </w:t>
      </w:r>
      <w:r>
        <w:rPr>
          <w:rFonts w:ascii="Times New Roman" w:hAnsi="Times New Roman" w:cs="Times New Roman"/>
          <w:sz w:val="28"/>
          <w:szCs w:val="28"/>
        </w:rPr>
        <w:t>искусственный интеллект и д</w:t>
      </w:r>
      <w:r w:rsidRPr="005272A0">
        <w:rPr>
          <w:rFonts w:ascii="Times New Roman" w:hAnsi="Times New Roman" w:cs="Times New Roman"/>
          <w:sz w:val="28"/>
          <w:szCs w:val="28"/>
        </w:rPr>
        <w:t xml:space="preserve">р.). 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5272A0">
        <w:rPr>
          <w:rFonts w:ascii="Times New Roman" w:hAnsi="Times New Roman" w:cs="Times New Roman"/>
          <w:sz w:val="28"/>
          <w:szCs w:val="28"/>
        </w:rPr>
        <w:t xml:space="preserve">: цифровая трансформация; транснациональные корпорации; индустрия моды; глобализация; одежда; цифровые технологии. </w:t>
      </w:r>
    </w:p>
    <w:p w:rsidR="005272A0" w:rsidRP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2712-7516_2021_1_2_21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331.104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>Лидерство: определение, подходы, перспективы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Клементьев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 Дмитрий Вячеславович,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lastRenderedPageBreak/>
        <w:t>аспирант базовой кафедры торгово-промышленной палаты Российской Федерации «Развитие человеческого капитала», Российский экономический университет им. Г. В. Плеханова, Россия, г. Москва,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7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dklementev01@gmail.com</w:t>
        </w:r>
      </w:hyperlink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t>Предметом научного и практического интереса в статье стало такое явление, как лидерство. Отмечается, что лидерство изучается специалистами в различных областях (менеджмент, управление персоналом и </w:t>
      </w:r>
      <w:proofErr w:type="spellStart"/>
      <w:proofErr w:type="gramStart"/>
      <w:r w:rsidRPr="005272A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272A0">
        <w:rPr>
          <w:rFonts w:ascii="Times New Roman" w:hAnsi="Times New Roman" w:cs="Times New Roman"/>
          <w:sz w:val="28"/>
          <w:szCs w:val="28"/>
        </w:rPr>
        <w:t>). Под лидерством понимается искусство оказывать влияние на людей для достижения групповых целей. Делается акцент на том, что лидеры должны обладать следующими основными качествами: уметь устанавливать контакт со своими подчиненными, направлять их, выступать посредником в конфликтах, решать проблемы путем сравнения различных альтернатив, правильно распределять ограниченные ресурсы, идти на риск и проявлять инициативу. Указывается, что организационная культура, экономическая и социальная структура, степень объединения в профсоюзы, а также другие факторы могут потребовать разных подходов к определению лидерства. В статье дается определение лидерства, рассматриваются основные подходы к лидерству, выносятся предложения по развитию лидерства в будущем.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5272A0">
        <w:rPr>
          <w:rFonts w:ascii="Times New Roman" w:hAnsi="Times New Roman" w:cs="Times New Roman"/>
          <w:sz w:val="28"/>
          <w:szCs w:val="28"/>
        </w:rPr>
        <w:t>: лидерство; процесс; последователь; лидер; влияние; общая цель; руководитель.</w:t>
      </w:r>
    </w:p>
    <w:p w:rsidR="005272A0" w:rsidRP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2712-7516_2021_1_2_25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316.35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Управленческий анализ НациональнОГО проектА «Демография» С использованием </w:t>
      </w:r>
      <w:r w:rsidRPr="005272A0">
        <w:rPr>
          <w:rFonts w:ascii="Times New Roman" w:hAnsi="Times New Roman" w:cs="Times New Roman"/>
          <w:b w:val="0"/>
          <w:sz w:val="28"/>
          <w:szCs w:val="28"/>
        </w:rPr>
        <w:br/>
        <w:t>диаграмм Эйлера – Венна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Лукашов Игорь Михайлович, </w:t>
      </w:r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pacing w:val="-2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pacing w:val="-2"/>
          <w:sz w:val="28"/>
          <w:szCs w:val="28"/>
        </w:rPr>
        <w:t>магистрант, Московский городской университет управления Правительства Москвы им. Ю. М. Лужкова, Россия, г. Москва, e-</w:t>
      </w:r>
      <w:proofErr w:type="spellStart"/>
      <w:r w:rsidRPr="005272A0">
        <w:rPr>
          <w:rFonts w:ascii="Times New Roman" w:hAnsi="Times New Roman" w:cs="Times New Roman"/>
          <w:i w:val="0"/>
          <w:spacing w:val="-2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pacing w:val="-2"/>
          <w:sz w:val="28"/>
          <w:szCs w:val="28"/>
        </w:rPr>
        <w:t>: anidept@mail.ru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Корабельникова Анна Алексеевна, </w:t>
      </w:r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магистрант, Московский городской университет управления Правительства Москвы им. Ю. М. Лужкова, Россия, г. Москва,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>: anuitakor@yandex.ru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Минайченкова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 Екатерина Игоревна, </w:t>
      </w:r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кандидат педагогических наук, доцент, заведующий кафедрой социально-гуманитарных дисциплин, Московский университет им. С. Ю. Витте, Россия, г. Москва,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>: kotenok7771@yandex.ru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Положенцева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 Ирина Вениаминовна,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кандидат экономических наук, доцент, заведующий кафедрой педагогики и психологии профессионального образования, </w:t>
      </w:r>
      <w:r w:rsidRPr="005272A0">
        <w:rPr>
          <w:rFonts w:ascii="Times New Roman" w:hAnsi="Times New Roman" w:cs="Times New Roman"/>
          <w:i w:val="0"/>
          <w:sz w:val="28"/>
          <w:szCs w:val="28"/>
        </w:rPr>
        <w:lastRenderedPageBreak/>
        <w:t>Московский государственный университет технологий и управления им. К. Г. Разумовского, Россия, г. Москва,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8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vipperh@yandex.ru</w:t>
        </w:r>
      </w:hyperlink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t xml:space="preserve">В статье проводится управленческий анализ национального проекта «Демография» с использованием диаграмм Эйлера – Венна. Установлено, что целесообразно применить данные диаграммы при анализе федеральных программ и проектов и понять логику их принятия и построения, в том числе при анализе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категорийного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 xml:space="preserve"> триплекса «качество: ценности: культура». Отмечается, что, занимаясь проектированием социально-культурной деятельности, нельзя пренебрегать традициями и основами нравственности, которые исторически закладывались в обществе.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5272A0">
        <w:rPr>
          <w:rFonts w:ascii="Times New Roman" w:hAnsi="Times New Roman" w:cs="Times New Roman"/>
          <w:sz w:val="28"/>
          <w:szCs w:val="28"/>
        </w:rPr>
        <w:t xml:space="preserve">: демографическая политика; управленческий анализ; национальный проект «Демография»; диаграммы Эйлера – Венна. 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2712-7516_2021_1_2_36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336.767.017.2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>Методы ведения личного бюджета и стратегии управления расходами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Осадчий Владислав Викторович,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Международный университет цифровой экономики и технологий, Россия, г. Москва,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9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osadchiivv@gmail.com</w:t>
        </w:r>
      </w:hyperlink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t>Статья посвящена такой актуальной проблеме, как управление личным бюджетом. Отмечается, что в основе грамотного управления своими денежными потоками лежат следующие ключевые пункты: контроль над расходами и доходами, корректировка расходов в сторону их уменьшения, составление планов по дальнейшему распределению поступающих денежных средств и предстоящим расходам. Излагаются основные методы ведения личного бюджета, описывается стратегия управления доходами и расходами, включающая методы пяти конвертов, «50/30/20» и другие способы контроля финансовых потоков.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5272A0">
        <w:rPr>
          <w:rFonts w:ascii="Times New Roman" w:hAnsi="Times New Roman" w:cs="Times New Roman"/>
          <w:sz w:val="28"/>
          <w:szCs w:val="28"/>
        </w:rPr>
        <w:t>: бюджет; личный бюджет; доходная часть; расходная часть; стратегия.</w:t>
      </w:r>
    </w:p>
    <w:p w:rsid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2712-7516_2021_1_2_40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338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К ВОПРОСУ ОБ ОСОБЕННОСТЯХ СОЦИАЛЬНО-ПРАВОВОГО РЕГУЛИРОВАНИЯ ЭКОНОМИЧЕСКОЙ ДЕЯТЕЛЬНОСТИ </w:t>
      </w:r>
      <w:r w:rsidRPr="005272A0">
        <w:rPr>
          <w:rFonts w:ascii="Times New Roman" w:hAnsi="Times New Roman" w:cs="Times New Roman"/>
          <w:b w:val="0"/>
          <w:sz w:val="28"/>
          <w:szCs w:val="28"/>
        </w:rPr>
        <w:br/>
        <w:t xml:space="preserve">В РОССИИ С ПРИМЕНЕНИЕМ МЕХАНИЗМА </w:t>
      </w:r>
      <w:r w:rsidRPr="005272A0">
        <w:rPr>
          <w:rFonts w:ascii="Times New Roman" w:hAnsi="Times New Roman" w:cs="Times New Roman"/>
          <w:b w:val="0"/>
          <w:sz w:val="28"/>
          <w:szCs w:val="28"/>
        </w:rPr>
        <w:br/>
        <w:t>«РЕГУЛЯТОРНОЙ ГИЛЬОТИНЫ»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Потапова Елена Петровна, </w:t>
      </w:r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кандидат философских наук, доцент кафедры государственного и муниципального управления, Владимирский филиал Российской академии народного хозяйства и государственной службы при Президенте Российской Федерации, Россия, г. Владимир,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>: nb-33@inbox.ru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Сизганова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 Елена Юрьевна, </w:t>
      </w:r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кандидат педагогических наук, доцент кафедры государственного и муниципального управления, Владимирский филиал Российской академии народного хозяйства и государственной службы при Президенте Российской Федерации, Россия, г. Владимир,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>: nb-33@inbox.ru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Савельев Игорь Игоревич, </w:t>
      </w:r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кандидат экономических наук, доцент, Владимирский государственный университет имени А. Г. и Н. Г. Столетовых (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ВлГУ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>), Россия, г. Владимир,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>: nb-33@inbox.ru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Кайдашова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 Анна </w:t>
      </w: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Кимовна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кандидат экономических наук, доцент кафедры государственного и муниципального управления, Владимирский филиал Российской академии народного хозяйства и государственной службы при Президенте Российской Федерации, Россия, г. Владимир,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10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nb-33@inbox.ru</w:t>
        </w:r>
      </w:hyperlink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t xml:space="preserve">В статье анализируются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парадигмальные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 xml:space="preserve">-надзорной деятельности в России с позиции анализа административных процедур и механизмов. Рассматриваются процессы перехода от карательных к упреждающим формам регулирования отношений субъектов бизнеса и государства с учетом складывающейся практики применения «регуляторной гильотины», а также сформировавшейся ментальной модели взаимодействия субъектов регулирования с </w:t>
      </w:r>
      <w:proofErr w:type="gramStart"/>
      <w:r w:rsidRPr="005272A0">
        <w:rPr>
          <w:rFonts w:ascii="Times New Roman" w:hAnsi="Times New Roman" w:cs="Times New Roman"/>
          <w:sz w:val="28"/>
          <w:szCs w:val="28"/>
        </w:rPr>
        <w:t>подконтрольными</w:t>
      </w:r>
      <w:proofErr w:type="gramEnd"/>
      <w:r w:rsidRPr="0052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 xml:space="preserve"> социально-экономической деятельности. Подробно анализируются федеральные законы «Об обязательных требованиях в Российской Федерации» и «О государственном контроле (надзоре) и муниципальном контроле в Российской Федерации».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5272A0">
        <w:rPr>
          <w:rFonts w:ascii="Times New Roman" w:hAnsi="Times New Roman" w:cs="Times New Roman"/>
          <w:sz w:val="28"/>
          <w:szCs w:val="28"/>
        </w:rPr>
        <w:t>: «регуляторная гильотина»; государственный контроль и надзор; эффективность надзорной деятельности.</w:t>
      </w:r>
    </w:p>
    <w:p w:rsidR="005272A0" w:rsidRP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2712-7516_2021_1_2_48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338.5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КОНКУРЕНТОСПОСОБНОСТЬ ПРЕДПРИЯТИЯ: ПРОБЛЕМНЫЕ ВОПРОСЫ И РЕШЕНИЯ 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Лубский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 Андрей Александрович, </w:t>
      </w:r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кандидат экономических наук, первый проректор, Академия социального управления, Россия, г. Москва,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>: lubskiyaa@gmail.com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Медведева Веста Владимировна,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кандидат экономических наук, старший преподаватель кафедры управления повседневной деятельностью, Рязанское гвардейское высшее воздушно-десантное командное училище, Россия, г. Рязань,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11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vesta.medvedewa@yandex.ru</w:t>
        </w:r>
      </w:hyperlink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5272A0">
        <w:rPr>
          <w:rFonts w:ascii="Times New Roman" w:hAnsi="Times New Roman" w:cs="Times New Roman"/>
          <w:spacing w:val="-2"/>
          <w:sz w:val="28"/>
          <w:szCs w:val="28"/>
        </w:rPr>
        <w:t>На основе анализа научной литературы в статье раскрываются проблемные вопросы конкурентного преимущества предприятия при производстве товаров и оказании услуг. Под конкурентоспособностью понимается способность предприятия устойчиво доминировать на рынке товаров и услуг в течение определенного промежутка времени, эффективно управляя своим экономическим потенциалом, обладая и реализуя конкурентные преимущества. Методы, применяемые для оценивания конкурентных преимуществ, позволяют получить оценку качественной и количественной их стороны, что необходимо при принятии эффективных решений. Определены направления оптимизации деятельности предприятия в соответствии с количеством приобретенных источников конкурентных преимуществ.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слова:</w:t>
      </w:r>
      <w:r w:rsidRPr="005272A0">
        <w:rPr>
          <w:rFonts w:ascii="Times New Roman" w:hAnsi="Times New Roman" w:cs="Times New Roman"/>
          <w:sz w:val="28"/>
          <w:szCs w:val="28"/>
        </w:rPr>
        <w:t xml:space="preserve"> конкурентоспособность; предприятие; производство; товар; услуга, стоимость; процесс.</w:t>
      </w:r>
    </w:p>
    <w:p w:rsidR="005272A0" w:rsidRP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2712-7516_2021_1_2_53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346.7:334.723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Зарубежный опыт государственно-частного партнерства в оборонно-промышленном комплексе и критическая оценка возможности </w:t>
      </w:r>
      <w:r w:rsidRPr="005272A0">
        <w:rPr>
          <w:rFonts w:ascii="Times New Roman" w:hAnsi="Times New Roman" w:cs="Times New Roman"/>
          <w:b w:val="0"/>
          <w:sz w:val="28"/>
          <w:szCs w:val="28"/>
        </w:rPr>
        <w:br/>
        <w:t>его применения в России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Барков Алексей Владимирович, </w:t>
      </w:r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доктор юридических наук, профессор, профессор 27 кафедры (гражданского права), Военный университет Министерства обороны Российской Федерации, профессор департамента правового регулирования экономической деятельности Финансового университета Российской Федерации, Россия, г. Москва, </w:t>
      </w:r>
      <w:proofErr w:type="gramStart"/>
      <w:r w:rsidRPr="005272A0">
        <w:rPr>
          <w:rFonts w:ascii="Times New Roman" w:hAnsi="Times New Roman" w:cs="Times New Roman"/>
          <w:i w:val="0"/>
          <w:sz w:val="28"/>
          <w:szCs w:val="28"/>
        </w:rPr>
        <w:t>е</w:t>
      </w:r>
      <w:proofErr w:type="gramEnd"/>
      <w:r w:rsidRPr="005272A0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>: barkov_a_v@mail.ru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Соколов Алексей Павлович,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доктор экономических наук, доцент, заведующий 27 кафедрой (гражданского права), Военный университет Министерства </w:t>
      </w:r>
      <w:r w:rsidRPr="005272A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обороны Российской Федерации, Россия, г. Москва, </w:t>
      </w:r>
      <w:proofErr w:type="gramStart"/>
      <w:r w:rsidRPr="005272A0">
        <w:rPr>
          <w:rFonts w:ascii="Times New Roman" w:hAnsi="Times New Roman" w:cs="Times New Roman"/>
          <w:i w:val="0"/>
          <w:sz w:val="28"/>
          <w:szCs w:val="28"/>
        </w:rPr>
        <w:t>е</w:t>
      </w:r>
      <w:proofErr w:type="gramEnd"/>
      <w:r w:rsidRPr="005272A0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12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srrpj@mail.ru</w:t>
        </w:r>
      </w:hyperlink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t>В статье обосновываются методологические подходы к исследованию проблемы, обобщаются результаты научно-исследовательской работы, посвященной изучению зарубежного опыта государственно-частного партнерства в оборонно-промышленном комплексе, дается критическая оценка возможности его применения в России. Разработанные научно-практические рекомендации по совершенствованию российского законодательства в данной сфере нацелены на обеспечение устойчивого развития оборонной промышленности. Делается вывод о том, что для совершенствования российской модели правового обеспечения устойчивого развития государственно-частного партнерства в оборонно-промышленном комплексе представляют интерес американский опыт «контрактов жизненного цикла», партнерские PBL-проекты, британские «уст</w:t>
      </w:r>
      <w:r>
        <w:rPr>
          <w:rFonts w:ascii="Times New Roman" w:hAnsi="Times New Roman" w:cs="Times New Roman"/>
          <w:sz w:val="28"/>
          <w:szCs w:val="28"/>
        </w:rPr>
        <w:t>ойчивые оборонные закупки» и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5272A0">
        <w:rPr>
          <w:rFonts w:ascii="Times New Roman" w:hAnsi="Times New Roman" w:cs="Times New Roman"/>
          <w:sz w:val="28"/>
          <w:szCs w:val="28"/>
        </w:rPr>
        <w:t>: государственно-частное партнерство; оборонно-промышленный комплекс; зарубежный опыт.</w:t>
      </w:r>
    </w:p>
    <w:p w:rsidR="005272A0" w:rsidRP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2712-7516_2021_1_2_62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340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>О ПАРАДИГМЕ СОВРЕМЕННОГО ПРАВА В СВЕТЕ УГРОЗ ГИБРИДНЫХ ВОЙН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Голоскоков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 Леонид Викторович,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pacing w:val="-1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pacing w:val="-1"/>
          <w:sz w:val="28"/>
          <w:szCs w:val="28"/>
        </w:rPr>
        <w:t>доктор юридических наук, доцент, ведущий научный сотрудник научно-исследовательского отдела, Московская академия Следственного комитета Российской Федерации, Россия, г. Москва, e-</w:t>
      </w:r>
      <w:proofErr w:type="spellStart"/>
      <w:r w:rsidRPr="005272A0">
        <w:rPr>
          <w:rFonts w:ascii="Times New Roman" w:hAnsi="Times New Roman" w:cs="Times New Roman"/>
          <w:i w:val="0"/>
          <w:spacing w:val="-1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pacing w:val="-1"/>
          <w:sz w:val="28"/>
          <w:szCs w:val="28"/>
        </w:rPr>
        <w:t xml:space="preserve">: </w:t>
      </w:r>
      <w:hyperlink r:id="rId13" w:history="1">
        <w:r w:rsidRPr="005C08D6">
          <w:rPr>
            <w:rStyle w:val="a8"/>
            <w:rFonts w:ascii="Times New Roman" w:hAnsi="Times New Roman" w:cs="Times New Roman"/>
            <w:i w:val="0"/>
            <w:spacing w:val="-1"/>
            <w:sz w:val="28"/>
            <w:szCs w:val="28"/>
          </w:rPr>
          <w:t>l.v.goloskokov@mail.ru</w:t>
        </w:r>
      </w:hyperlink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pacing w:val="-1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t>В статье исследуется парадигма современного права как набор представлений о том, как должны работать право, правоохранительные органы и государство в сфере правового регулирования и правоохраны. С помощью метода экстраполяции показывается, как парадигма права выглядит с отдельных ракурсов гражданского, уголовного права и почему право не готово к отражению угроз гибридных войн. Дается итоговая характеристика парадигмы современного права. Делается вывод о том, что парадигма современного права должна обрести механизмы видения элементов гибридных войн, опережающий стиль мышления и действия, не свойственный праву со времен Римской империи.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5272A0">
        <w:rPr>
          <w:rFonts w:ascii="Times New Roman" w:hAnsi="Times New Roman" w:cs="Times New Roman"/>
          <w:sz w:val="28"/>
          <w:szCs w:val="28"/>
        </w:rPr>
        <w:t>: право; гражданское право; уголовное право; государство; гибридная война; парадигма права.</w:t>
      </w:r>
    </w:p>
    <w:p w:rsid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2712-7516_2021_1_2_68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334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СЛОЖНОСТИ ГОСУДАРСТВЕННО-ЧАСТНОГО ПАРТНЕРСТВА И АКТИВИЗАЦИИ ИНВЕСТИЦИОННОЙ ДЕЯТЕЛЬНОСТИ </w:t>
      </w:r>
      <w:r w:rsidRPr="005272A0">
        <w:rPr>
          <w:rFonts w:ascii="Times New Roman" w:hAnsi="Times New Roman" w:cs="Times New Roman"/>
          <w:b w:val="0"/>
          <w:sz w:val="28"/>
          <w:szCs w:val="28"/>
        </w:rPr>
        <w:br/>
        <w:t>В РОССИИ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Пашута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 Валерий Лукич, </w:t>
      </w:r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заслуженный работник высшей школы Российской Федерации, доктор педагогических наук, профессор, заведующий кафедрой гуманитарных социально-экономических дисциплин, Военный институт физической культуры, Россия, г. Санкт-Петербург, </w:t>
      </w:r>
      <w:proofErr w:type="gramStart"/>
      <w:r w:rsidRPr="005272A0">
        <w:rPr>
          <w:rFonts w:ascii="Times New Roman" w:hAnsi="Times New Roman" w:cs="Times New Roman"/>
          <w:i w:val="0"/>
          <w:sz w:val="28"/>
          <w:szCs w:val="28"/>
        </w:rPr>
        <w:t>е</w:t>
      </w:r>
      <w:proofErr w:type="gramEnd"/>
      <w:r w:rsidRPr="005272A0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pashuta.valery.lukich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 @gmail.com</w:t>
      </w: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Дубинин Виктор Олегович,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pacing w:val="-3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кандидат исторических наук, доцент, старший преподаватель кафедры гуманитарных социально-экономических дисциплин, Военный институт физической культуры, Россия, г. Санкт-Петербург, </w:t>
      </w:r>
      <w:proofErr w:type="gramStart"/>
      <w:r w:rsidRPr="005272A0">
        <w:rPr>
          <w:rFonts w:ascii="Times New Roman" w:hAnsi="Times New Roman" w:cs="Times New Roman"/>
          <w:i w:val="0"/>
          <w:spacing w:val="-3"/>
          <w:sz w:val="28"/>
          <w:szCs w:val="28"/>
        </w:rPr>
        <w:t>е</w:t>
      </w:r>
      <w:proofErr w:type="gramEnd"/>
      <w:r w:rsidRPr="005272A0">
        <w:rPr>
          <w:rFonts w:ascii="Times New Roman" w:hAnsi="Times New Roman" w:cs="Times New Roman"/>
          <w:i w:val="0"/>
          <w:spacing w:val="-3"/>
          <w:sz w:val="28"/>
          <w:szCs w:val="28"/>
        </w:rPr>
        <w:t>-</w:t>
      </w:r>
      <w:proofErr w:type="spellStart"/>
      <w:r w:rsidRPr="005272A0">
        <w:rPr>
          <w:rFonts w:ascii="Times New Roman" w:hAnsi="Times New Roman" w:cs="Times New Roman"/>
          <w:i w:val="0"/>
          <w:spacing w:val="-3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: </w:t>
      </w:r>
      <w:hyperlink r:id="rId14" w:history="1">
        <w:r w:rsidRPr="005C08D6">
          <w:rPr>
            <w:rStyle w:val="a8"/>
            <w:rFonts w:ascii="Times New Roman" w:hAnsi="Times New Roman" w:cs="Times New Roman"/>
            <w:i w:val="0"/>
            <w:spacing w:val="-3"/>
            <w:sz w:val="28"/>
            <w:szCs w:val="28"/>
          </w:rPr>
          <w:t>victord44@mail.ru</w:t>
        </w:r>
      </w:hyperlink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pacing w:val="-3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t xml:space="preserve">В статье анализируются проблемы государственно-частного партнерства и активизации инвестиционной деятельности в России. </w:t>
      </w:r>
      <w:proofErr w:type="gramStart"/>
      <w:r w:rsidRPr="005272A0">
        <w:rPr>
          <w:rFonts w:ascii="Times New Roman" w:hAnsi="Times New Roman" w:cs="Times New Roman"/>
          <w:sz w:val="28"/>
          <w:szCs w:val="28"/>
        </w:rPr>
        <w:t>Выделяется проблема взаимного доверия государственных структур и российского предпринимательства, без решения которой невозможного ожидать активизации инвестиционной деятельности в государственных проектах, включая сферу оборонно-промышленного комплекса.</w:t>
      </w:r>
      <w:proofErr w:type="gramEnd"/>
      <w:r w:rsidRPr="005272A0">
        <w:rPr>
          <w:rFonts w:ascii="Times New Roman" w:hAnsi="Times New Roman" w:cs="Times New Roman"/>
          <w:sz w:val="28"/>
          <w:szCs w:val="28"/>
        </w:rPr>
        <w:t xml:space="preserve"> В результате анализа различных источников делается вывод о существовании проблемы расширения самой базы российского бизнеса, решение которой находится в поле государственного нормотворчества и принципиально справедливого надзора за его соблюдением.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слова:</w:t>
      </w:r>
      <w:r w:rsidRPr="005272A0">
        <w:rPr>
          <w:rFonts w:ascii="Times New Roman" w:hAnsi="Times New Roman" w:cs="Times New Roman"/>
          <w:sz w:val="28"/>
          <w:szCs w:val="28"/>
        </w:rPr>
        <w:t xml:space="preserve"> государство; инвестиции; предпринимательство; государственно-частное партнерство; доверие бизнеса; государственная поддержка бизнеса.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2712-7516_2021_1_2_72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004.8:355/359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>ПРАВОВОЕ РЕГУЛИРОВАНИЕ ПРИМЕНЕНИЯ ТЕХНОЛОГИИ ИСКУССТВЕННОГО ИНТЕЛЛЕКТА В ВОЕННОМ ДЕЛ</w:t>
      </w:r>
      <w:proofErr w:type="gramStart"/>
      <w:r w:rsidRPr="005272A0">
        <w:rPr>
          <w:rFonts w:ascii="Times New Roman" w:hAnsi="Times New Roman" w:cs="Times New Roman"/>
          <w:b w:val="0"/>
          <w:sz w:val="28"/>
          <w:szCs w:val="28"/>
        </w:rPr>
        <w:t>E</w:t>
      </w:r>
      <w:proofErr w:type="gram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5272A0">
        <w:rPr>
          <w:rFonts w:ascii="Times New Roman" w:hAnsi="Times New Roman" w:cs="Times New Roman"/>
          <w:b w:val="0"/>
          <w:sz w:val="28"/>
          <w:szCs w:val="28"/>
        </w:rPr>
        <w:br/>
        <w:t>ОПЫТ РОССИИ И КИТАЯ</w:t>
      </w:r>
      <w:proofErr w:type="gramStart"/>
      <w:r w:rsidRPr="005272A0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proofErr w:type="gramEnd"/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Харитонова Юлия Сергеевна,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доктор юридических наук, профессор, профессор кафедры предпринимательского права, Московский государственный </w:t>
      </w:r>
      <w:r w:rsidRPr="005272A0">
        <w:rPr>
          <w:rFonts w:ascii="Times New Roman" w:hAnsi="Times New Roman" w:cs="Times New Roman"/>
          <w:i w:val="0"/>
          <w:sz w:val="28"/>
          <w:szCs w:val="28"/>
        </w:rPr>
        <w:lastRenderedPageBreak/>
        <w:t>университет им. М. В. Ломоносова, Россия, г. Москва,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15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kharitonovajul@mail.ru</w:t>
        </w:r>
      </w:hyperlink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t xml:space="preserve">В статье рассматриваются вопросы правового регулирования применения технологии искусственного интеллекта и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>, которые актуализируются по мере развития данных технологий и расширения их применения в различных сферах жизни общества, включая военное дело. Отмечается, что создание стратегий развития технологии искусственного интеллекта в России и Китае позволяет сопоставить регуляторные подходы к данному явлению, а также установить границы внедрения технологии искусственного интеллекта в военное дело в рамках международного гуманитарного законодательства.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5272A0">
        <w:rPr>
          <w:rFonts w:ascii="Times New Roman" w:hAnsi="Times New Roman" w:cs="Times New Roman"/>
          <w:sz w:val="28"/>
          <w:szCs w:val="28"/>
        </w:rPr>
        <w:t>: искусственный интеллект в военном деле; производительность роботов; самообучающееся программное обеспечение; взаимодействие человека с машиной; стандартизация систем искусственного интеллекта.</w:t>
      </w:r>
    </w:p>
    <w:p w:rsidR="005272A0" w:rsidRP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2712-7516_2021_1_2_81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  <w:bCs w:val="0"/>
          <w:lang w:val="ru-RU"/>
        </w:rPr>
        <w:t>УДК 347.45.47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>Пути совершенствования законодательства в сфере государственного оборонного заказа</w:t>
      </w:r>
      <w:proofErr w:type="gramStart"/>
      <w:r w:rsidRPr="005272A0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proofErr w:type="gramEnd"/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Шмелева Марина Владимировна,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кандидат юридических наук, доцент кафедры гражданского права, Саратовская государственная юридическая академия, Россия, г. Саратов,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16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civil2012@mail.ru</w:t>
        </w:r>
      </w:hyperlink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iCs/>
          <w:sz w:val="28"/>
          <w:szCs w:val="28"/>
        </w:rPr>
        <w:t>Введение:</w:t>
      </w:r>
      <w:r w:rsidRPr="005272A0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оборонный заказ – это достаточно широкое понятие, включающее в себя не только закупки, необходимые для удовлетворения нужд вооруженных сил, но и закупку товаров (работ, услуг) общегражданского назначения. При этом режим закупок </w:t>
      </w:r>
      <w:proofErr w:type="gramStart"/>
      <w:r w:rsidRPr="005272A0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5272A0">
        <w:rPr>
          <w:rFonts w:ascii="Times New Roman" w:hAnsi="Times New Roman" w:cs="Times New Roman"/>
          <w:sz w:val="28"/>
          <w:szCs w:val="28"/>
        </w:rPr>
        <w:t xml:space="preserve"> как военного, так и общегражданского назначения единый, достаточно закрытый и сложный. </w:t>
      </w:r>
      <w:r w:rsidRPr="005272A0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  <w:r w:rsidRPr="005272A0">
        <w:rPr>
          <w:rFonts w:ascii="Times New Roman" w:hAnsi="Times New Roman" w:cs="Times New Roman"/>
          <w:sz w:val="28"/>
          <w:szCs w:val="28"/>
        </w:rPr>
        <w:t xml:space="preserve">выработать предложения по оптимизации процесса государственных закупок, осуществляемых в рамках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 xml:space="preserve">. </w:t>
      </w:r>
      <w:r w:rsidRPr="005272A0">
        <w:rPr>
          <w:rFonts w:ascii="Times New Roman" w:hAnsi="Times New Roman" w:cs="Times New Roman"/>
          <w:iCs/>
          <w:sz w:val="28"/>
          <w:szCs w:val="28"/>
        </w:rPr>
        <w:t>Методологическая основа:</w:t>
      </w:r>
      <w:r w:rsidRPr="005272A0">
        <w:rPr>
          <w:rFonts w:ascii="Times New Roman" w:hAnsi="Times New Roman" w:cs="Times New Roman"/>
          <w:sz w:val="28"/>
          <w:szCs w:val="28"/>
        </w:rPr>
        <w:t xml:space="preserve"> логический и диалектический, системный методы исследования. </w:t>
      </w:r>
      <w:r w:rsidRPr="005272A0">
        <w:rPr>
          <w:rFonts w:ascii="Times New Roman" w:hAnsi="Times New Roman" w:cs="Times New Roman"/>
          <w:iCs/>
          <w:sz w:val="28"/>
          <w:szCs w:val="28"/>
        </w:rPr>
        <w:t>Результаты:</w:t>
      </w:r>
      <w:r w:rsidRPr="005272A0">
        <w:rPr>
          <w:rFonts w:ascii="Times New Roman" w:hAnsi="Times New Roman" w:cs="Times New Roman"/>
          <w:sz w:val="28"/>
          <w:szCs w:val="28"/>
        </w:rPr>
        <w:t xml:space="preserve"> проанализировано действующее законодательство в области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 xml:space="preserve"> и обоснована необходимость его совершенствования. </w:t>
      </w:r>
      <w:r w:rsidRPr="005272A0">
        <w:rPr>
          <w:rFonts w:ascii="Times New Roman" w:hAnsi="Times New Roman" w:cs="Times New Roman"/>
          <w:iCs/>
          <w:sz w:val="28"/>
          <w:szCs w:val="28"/>
        </w:rPr>
        <w:t>Выводы:</w:t>
      </w:r>
      <w:r w:rsidRPr="005272A0">
        <w:rPr>
          <w:rFonts w:ascii="Times New Roman" w:hAnsi="Times New Roman" w:cs="Times New Roman"/>
          <w:sz w:val="28"/>
          <w:szCs w:val="28"/>
        </w:rPr>
        <w:t xml:space="preserve"> процесс государственных закупок в рамках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 xml:space="preserve"> должен быть более простым, понятным и легким в применении, хотя бы в рамках осуществления закупки товаров (работ, услуг) общегражданского назначения. Раздельное правовое регулирование закупки объектов военного и общегражданского назначения, приобретаемых в рамках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>, позволит сделать его более открытым, прозрачным и, как следствие, более эффективным.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lastRenderedPageBreak/>
        <w:t xml:space="preserve">Ключевые слова: </w:t>
      </w:r>
      <w:r w:rsidRPr="005272A0">
        <w:rPr>
          <w:rFonts w:ascii="Times New Roman" w:hAnsi="Times New Roman" w:cs="Times New Roman"/>
          <w:sz w:val="28"/>
          <w:szCs w:val="28"/>
        </w:rPr>
        <w:t>государственный оборонный заказ; оборона; контрактная система; инновации; закупки; электронные закупки.</w:t>
      </w:r>
    </w:p>
    <w:p w:rsidR="005272A0" w:rsidRP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2712-7516_2021_1_2_86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343.163:338.984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>Актуальные вопросы контроля при реализации гособоронзаказа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Абдреев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 Тимур </w:t>
      </w:r>
      <w:proofErr w:type="spellStart"/>
      <w:r w:rsidRPr="005272A0">
        <w:rPr>
          <w:rFonts w:ascii="Times New Roman" w:hAnsi="Times New Roman" w:cs="Times New Roman"/>
          <w:b w:val="0"/>
          <w:sz w:val="28"/>
          <w:szCs w:val="28"/>
        </w:rPr>
        <w:t>Ирекович</w:t>
      </w:r>
      <w:proofErr w:type="spellEnd"/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>кандидат юридических наук, старший преподаватель кафедры прокурорского надзора за исполнением законов и участия прокурора в административном, арбитражном и гражданском процессе, Казанский юридический институт (филиал) Университета прокуратуры Российской Федерации, Россия, г. Казань, 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17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kasan2003@mail.ru</w:t>
        </w:r>
      </w:hyperlink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t xml:space="preserve">В статье анализируются вопросы осуществления контроля при реализации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 xml:space="preserve">, который направлен на решение стратегической задачи государства – обеспечение военного потенциала страны и поддержание его на высоком уровне. Рассматриваются особенности ценообразования и организации закупочного процесса в системе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 xml:space="preserve">, функционирование системы «Электронный бюджет». Отмечается особое место органов прокуратуры в проведении контрольных мероприятий. Делается вывод о том, что вопросы контроля при реализации </w:t>
      </w:r>
      <w:proofErr w:type="spellStart"/>
      <w:r w:rsidRPr="005272A0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5272A0">
        <w:rPr>
          <w:rFonts w:ascii="Times New Roman" w:hAnsi="Times New Roman" w:cs="Times New Roman"/>
          <w:sz w:val="28"/>
          <w:szCs w:val="28"/>
        </w:rPr>
        <w:t xml:space="preserve"> носят комплексный характер.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слова:</w:t>
      </w:r>
      <w:r w:rsidRPr="005272A0">
        <w:rPr>
          <w:rFonts w:ascii="Times New Roman" w:hAnsi="Times New Roman" w:cs="Times New Roman"/>
          <w:sz w:val="28"/>
          <w:szCs w:val="28"/>
        </w:rPr>
        <w:t xml:space="preserve"> контрольные мероприятия; финансовый контроль; закупки для государственных и муниципальных нужд; государственный оборонный заказ; органы прокуратуры.</w:t>
      </w:r>
    </w:p>
    <w:p w:rsidR="005272A0" w:rsidRP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5272A0">
        <w:rPr>
          <w:rFonts w:ascii="Times New Roman" w:hAnsi="Times New Roman" w:cs="Times New Roman"/>
          <w:b w:val="0"/>
        </w:rPr>
        <w:t>DOI</w:t>
      </w:r>
      <w:r w:rsidRPr="005272A0">
        <w:rPr>
          <w:rFonts w:ascii="Times New Roman" w:hAnsi="Times New Roman" w:cs="Times New Roman"/>
          <w:b w:val="0"/>
          <w:lang w:val="ru-RU"/>
        </w:rPr>
        <w:t xml:space="preserve"> 10.475776/</w:t>
      </w:r>
      <w:r w:rsidRPr="005272A0">
        <w:rPr>
          <w:rFonts w:ascii="Times New Roman" w:hAnsi="Times New Roman" w:cs="Times New Roman"/>
          <w:b w:val="0"/>
          <w:bCs w:val="0"/>
          <w:lang w:val="ru-RU"/>
        </w:rPr>
        <w:t>2712-7516_2021_1_2_90</w:t>
      </w:r>
    </w:p>
    <w:p w:rsid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  <w:r w:rsidRPr="005272A0">
        <w:rPr>
          <w:rFonts w:ascii="Times New Roman" w:hAnsi="Times New Roman" w:cs="Times New Roman"/>
          <w:b w:val="0"/>
          <w:lang w:val="ru-RU"/>
        </w:rPr>
        <w:t>УДК 338</w:t>
      </w:r>
    </w:p>
    <w:p w:rsidR="005272A0" w:rsidRPr="005272A0" w:rsidRDefault="005272A0" w:rsidP="005272A0">
      <w:pPr>
        <w:pStyle w:val="a3"/>
        <w:spacing w:after="0" w:line="240" w:lineRule="auto"/>
        <w:rPr>
          <w:rFonts w:ascii="Times New Roman" w:hAnsi="Times New Roman" w:cs="Times New Roman"/>
          <w:b w:val="0"/>
          <w:lang w:val="ru-RU"/>
        </w:rPr>
      </w:pPr>
    </w:p>
    <w:p w:rsid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К вопросу о соотношении категорий государственно-частного партнерства </w:t>
      </w:r>
      <w:r w:rsidRPr="005272A0">
        <w:rPr>
          <w:rFonts w:ascii="Times New Roman" w:hAnsi="Times New Roman" w:cs="Times New Roman"/>
          <w:b w:val="0"/>
          <w:sz w:val="28"/>
          <w:szCs w:val="28"/>
        </w:rPr>
        <w:br/>
        <w:t>и контрактной системы в сфере закупок</w:t>
      </w:r>
    </w:p>
    <w:p w:rsidR="005272A0" w:rsidRPr="005272A0" w:rsidRDefault="005272A0" w:rsidP="005272A0">
      <w:pPr>
        <w:pStyle w:val="a4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72A0" w:rsidRPr="005272A0" w:rsidRDefault="005272A0" w:rsidP="005272A0">
      <w:pPr>
        <w:pStyle w:val="a5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272A0">
        <w:rPr>
          <w:rFonts w:ascii="Times New Roman" w:hAnsi="Times New Roman" w:cs="Times New Roman"/>
          <w:b w:val="0"/>
          <w:sz w:val="28"/>
          <w:szCs w:val="28"/>
        </w:rPr>
        <w:t xml:space="preserve">Белов Валерий Евгеньевич, </w:t>
      </w:r>
    </w:p>
    <w:p w:rsid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кандидат юридических наук, доцент, доцент кафедры правового обеспечения рыночной экономики, Институт государственной службы и управления, Российская академия народного хозяйства и государственной службы при Президенте Российской Федерации, Россия, г. Москва, </w:t>
      </w:r>
      <w:r w:rsidRPr="005272A0">
        <w:rPr>
          <w:rFonts w:ascii="Times New Roman" w:hAnsi="Times New Roman" w:cs="Times New Roman"/>
          <w:i w:val="0"/>
          <w:sz w:val="28"/>
          <w:szCs w:val="28"/>
        </w:rPr>
        <w:br/>
        <w:t>e-</w:t>
      </w:r>
      <w:proofErr w:type="spellStart"/>
      <w:r w:rsidRPr="005272A0">
        <w:rPr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5272A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18" w:history="1">
        <w:r w:rsidRPr="005C08D6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belovve@mail.ru</w:t>
        </w:r>
      </w:hyperlink>
    </w:p>
    <w:p w:rsidR="005272A0" w:rsidRPr="005272A0" w:rsidRDefault="005272A0" w:rsidP="005272A0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z w:val="28"/>
          <w:szCs w:val="28"/>
        </w:rPr>
        <w:lastRenderedPageBreak/>
        <w:t>В статье анализируются вопросы, касающиеся соотношения категорий государственно-частного партнерства и контрактной системы в сфере закупок, охватывающей область государственного оборонного заказа. Отмечается, что отрицание связи данных категорий на законодательном уровне представляется спорным. С целью интеграции указанных категорий видится целесообразной разработка более сложных экономических критериев отбора контрагентов государства в рамках контрактной системы в сфере закупок.</w:t>
      </w:r>
    </w:p>
    <w:p w:rsidR="005272A0" w:rsidRPr="005272A0" w:rsidRDefault="005272A0" w:rsidP="005272A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2A0">
        <w:rPr>
          <w:rFonts w:ascii="Times New Roman" w:hAnsi="Times New Roman" w:cs="Times New Roman"/>
          <w:spacing w:val="43"/>
          <w:sz w:val="28"/>
          <w:szCs w:val="28"/>
        </w:rPr>
        <w:t>Ключевые слова</w:t>
      </w:r>
      <w:r w:rsidRPr="005272A0">
        <w:rPr>
          <w:rFonts w:ascii="Times New Roman" w:hAnsi="Times New Roman" w:cs="Times New Roman"/>
          <w:sz w:val="28"/>
          <w:szCs w:val="28"/>
        </w:rPr>
        <w:t xml:space="preserve">: государственно-частное партнерство; контрактная система в сфере закупок; государственный оборонный заказ; критерии эффективности; комплексный подход; междисциплинарные исследования. </w:t>
      </w:r>
    </w:p>
    <w:p w:rsidR="005272A0" w:rsidRPr="005272A0" w:rsidRDefault="005272A0" w:rsidP="0052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2A0" w:rsidRPr="0052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0"/>
    <w:rsid w:val="004C0567"/>
    <w:rsid w:val="005272A0"/>
    <w:rsid w:val="005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uiPriority w:val="99"/>
    <w:rsid w:val="005272A0"/>
    <w:pPr>
      <w:autoSpaceDE w:val="0"/>
      <w:autoSpaceDN w:val="0"/>
      <w:adjustRightInd w:val="0"/>
      <w:spacing w:after="227" w:line="288" w:lineRule="auto"/>
      <w:textAlignment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paragraph" w:customStyle="1" w:styleId="a4">
    <w:name w:val="Заголовок статьи"/>
    <w:basedOn w:val="a"/>
    <w:uiPriority w:val="99"/>
    <w:rsid w:val="005272A0"/>
    <w:pPr>
      <w:suppressAutoHyphens/>
      <w:autoSpaceDE w:val="0"/>
      <w:autoSpaceDN w:val="0"/>
      <w:adjustRightInd w:val="0"/>
      <w:spacing w:before="113" w:after="340" w:line="288" w:lineRule="auto"/>
      <w:jc w:val="center"/>
      <w:textAlignment w:val="center"/>
    </w:pPr>
    <w:rPr>
      <w:rFonts w:ascii="Helios" w:hAnsi="Helios" w:cs="Helios"/>
      <w:b/>
      <w:bCs/>
      <w:caps/>
      <w:color w:val="000000"/>
      <w:sz w:val="30"/>
      <w:szCs w:val="30"/>
    </w:rPr>
  </w:style>
  <w:style w:type="paragraph" w:customStyle="1" w:styleId="a5">
    <w:name w:val="Автор"/>
    <w:basedOn w:val="a"/>
    <w:uiPriority w:val="99"/>
    <w:rsid w:val="005272A0"/>
    <w:pPr>
      <w:autoSpaceDE w:val="0"/>
      <w:autoSpaceDN w:val="0"/>
      <w:adjustRightInd w:val="0"/>
      <w:spacing w:after="0" w:line="288" w:lineRule="auto"/>
      <w:ind w:left="1701"/>
      <w:textAlignment w:val="center"/>
    </w:pPr>
    <w:rPr>
      <w:rFonts w:ascii="Arial" w:hAnsi="Arial" w:cs="Arial"/>
      <w:b/>
      <w:bCs/>
      <w:color w:val="000000"/>
    </w:rPr>
  </w:style>
  <w:style w:type="paragraph" w:customStyle="1" w:styleId="a6">
    <w:name w:val="автор_кандидат"/>
    <w:basedOn w:val="a"/>
    <w:uiPriority w:val="99"/>
    <w:rsid w:val="005272A0"/>
    <w:pPr>
      <w:autoSpaceDE w:val="0"/>
      <w:autoSpaceDN w:val="0"/>
      <w:adjustRightInd w:val="0"/>
      <w:spacing w:after="113" w:line="288" w:lineRule="auto"/>
      <w:ind w:left="1701"/>
      <w:jc w:val="both"/>
      <w:textAlignment w:val="center"/>
    </w:pPr>
    <w:rPr>
      <w:rFonts w:ascii="Arial" w:hAnsi="Arial" w:cs="Arial"/>
      <w:i/>
      <w:iCs/>
      <w:color w:val="000000"/>
    </w:rPr>
  </w:style>
  <w:style w:type="paragraph" w:customStyle="1" w:styleId="a7">
    <w:name w:val="аннотация"/>
    <w:basedOn w:val="a"/>
    <w:uiPriority w:val="99"/>
    <w:rsid w:val="005272A0"/>
    <w:pPr>
      <w:autoSpaceDE w:val="0"/>
      <w:autoSpaceDN w:val="0"/>
      <w:adjustRightInd w:val="0"/>
      <w:spacing w:after="0" w:line="200" w:lineRule="atLeast"/>
      <w:ind w:firstLine="266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527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uiPriority w:val="99"/>
    <w:rsid w:val="005272A0"/>
    <w:pPr>
      <w:autoSpaceDE w:val="0"/>
      <w:autoSpaceDN w:val="0"/>
      <w:adjustRightInd w:val="0"/>
      <w:spacing w:after="227" w:line="288" w:lineRule="auto"/>
      <w:textAlignment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paragraph" w:customStyle="1" w:styleId="a4">
    <w:name w:val="Заголовок статьи"/>
    <w:basedOn w:val="a"/>
    <w:uiPriority w:val="99"/>
    <w:rsid w:val="005272A0"/>
    <w:pPr>
      <w:suppressAutoHyphens/>
      <w:autoSpaceDE w:val="0"/>
      <w:autoSpaceDN w:val="0"/>
      <w:adjustRightInd w:val="0"/>
      <w:spacing w:before="113" w:after="340" w:line="288" w:lineRule="auto"/>
      <w:jc w:val="center"/>
      <w:textAlignment w:val="center"/>
    </w:pPr>
    <w:rPr>
      <w:rFonts w:ascii="Helios" w:hAnsi="Helios" w:cs="Helios"/>
      <w:b/>
      <w:bCs/>
      <w:caps/>
      <w:color w:val="000000"/>
      <w:sz w:val="30"/>
      <w:szCs w:val="30"/>
    </w:rPr>
  </w:style>
  <w:style w:type="paragraph" w:customStyle="1" w:styleId="a5">
    <w:name w:val="Автор"/>
    <w:basedOn w:val="a"/>
    <w:uiPriority w:val="99"/>
    <w:rsid w:val="005272A0"/>
    <w:pPr>
      <w:autoSpaceDE w:val="0"/>
      <w:autoSpaceDN w:val="0"/>
      <w:adjustRightInd w:val="0"/>
      <w:spacing w:after="0" w:line="288" w:lineRule="auto"/>
      <w:ind w:left="1701"/>
      <w:textAlignment w:val="center"/>
    </w:pPr>
    <w:rPr>
      <w:rFonts w:ascii="Arial" w:hAnsi="Arial" w:cs="Arial"/>
      <w:b/>
      <w:bCs/>
      <w:color w:val="000000"/>
    </w:rPr>
  </w:style>
  <w:style w:type="paragraph" w:customStyle="1" w:styleId="a6">
    <w:name w:val="автор_кандидат"/>
    <w:basedOn w:val="a"/>
    <w:uiPriority w:val="99"/>
    <w:rsid w:val="005272A0"/>
    <w:pPr>
      <w:autoSpaceDE w:val="0"/>
      <w:autoSpaceDN w:val="0"/>
      <w:adjustRightInd w:val="0"/>
      <w:spacing w:after="113" w:line="288" w:lineRule="auto"/>
      <w:ind w:left="1701"/>
      <w:jc w:val="both"/>
      <w:textAlignment w:val="center"/>
    </w:pPr>
    <w:rPr>
      <w:rFonts w:ascii="Arial" w:hAnsi="Arial" w:cs="Arial"/>
      <w:i/>
      <w:iCs/>
      <w:color w:val="000000"/>
    </w:rPr>
  </w:style>
  <w:style w:type="paragraph" w:customStyle="1" w:styleId="a7">
    <w:name w:val="аннотация"/>
    <w:basedOn w:val="a"/>
    <w:uiPriority w:val="99"/>
    <w:rsid w:val="005272A0"/>
    <w:pPr>
      <w:autoSpaceDE w:val="0"/>
      <w:autoSpaceDN w:val="0"/>
      <w:adjustRightInd w:val="0"/>
      <w:spacing w:after="0" w:line="200" w:lineRule="atLeast"/>
      <w:ind w:firstLine="266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52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perh@yandex.ru" TargetMode="External"/><Relationship Id="rId13" Type="http://schemas.openxmlformats.org/officeDocument/2006/relationships/hyperlink" Target="mailto:l.v.goloskokov@mail.ru" TargetMode="External"/><Relationship Id="rId18" Type="http://schemas.openxmlformats.org/officeDocument/2006/relationships/hyperlink" Target="mailto:belovv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lementev01@gmail.com" TargetMode="External"/><Relationship Id="rId12" Type="http://schemas.openxmlformats.org/officeDocument/2006/relationships/hyperlink" Target="mailto:srrpj@mail.ru" TargetMode="External"/><Relationship Id="rId17" Type="http://schemas.openxmlformats.org/officeDocument/2006/relationships/hyperlink" Target="mailto:kasan200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ivil2012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imestyle@mail.ru" TargetMode="External"/><Relationship Id="rId11" Type="http://schemas.openxmlformats.org/officeDocument/2006/relationships/hyperlink" Target="mailto:vesta.medvedewa@yandex.ru" TargetMode="External"/><Relationship Id="rId5" Type="http://schemas.openxmlformats.org/officeDocument/2006/relationships/hyperlink" Target="mailto:Fmm13@yandex.ru" TargetMode="External"/><Relationship Id="rId15" Type="http://schemas.openxmlformats.org/officeDocument/2006/relationships/hyperlink" Target="mailto:kharitonovajul@mail.ru" TargetMode="External"/><Relationship Id="rId10" Type="http://schemas.openxmlformats.org/officeDocument/2006/relationships/hyperlink" Target="mailto:nb-33@inbo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adchiivv@gmail.com" TargetMode="External"/><Relationship Id="rId14" Type="http://schemas.openxmlformats.org/officeDocument/2006/relationships/hyperlink" Target="mailto:victord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2021-04-09T02:51:00Z</dcterms:created>
  <dcterms:modified xsi:type="dcterms:W3CDTF">2021-04-09T03:06:00Z</dcterms:modified>
</cp:coreProperties>
</file>